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кризисе власти</w:t>
      </w:r>
    </w:p>
    <w:p>
      <w:pPr/>
      <w:r>
        <w:t>2021-06-08</w:t>
      </w:r>
    </w:p>
    <w:p>
      <w:pPr/>
    </w:p>
    <w:p>
      <w:r>
        <w:t>«Как марксисты, мы должны подойти к кризису власти не только с формальной точки зрения, но, прежде всего, с точки зрения классовой. Кризис власти – это напряженная, открытая борьба классов за власть.»</w:t>
      </w:r>
      <w:r>
        <w:br/>
      </w:r>
      <w:r>
        <w:br/>
      </w:r>
      <w:r>
        <w:rPr>
          <w:b/>
        </w:rPr>
        <w:t>И.В.Сталин, “Выступление на экстренной конференции петроградской организации”, т. 3, с. 115</w:t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