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буржуазных Конституциях</w:t>
      </w:r>
    </w:p>
    <w:p>
      <w:pPr/>
      <w:r>
        <w:t>2020-03-05</w:t>
      </w:r>
    </w:p>
    <w:p>
      <w:pPr/>
    </w:p>
    <w:p>
      <w:r>
        <w:rPr>
          <w:i/>
        </w:rPr>
        <w:t>“Буржуазные конституции обычно ограничиваются фиксированием прав граждан, не заботясь об условиях осуществления этих прав, о возможности их осуществления, о средствах их осуществления. Говорят о равенстве граждан, но забывают, что не может быть действительного равенства между хозяином и рабочим, между помещиком и крестьянином, если у первых имеется богатство и политический вес в обществе, а вторые лишены и того и другого, если первые являются эксплуататорами, а вторые – эксплуатируемыми”.</w:t>
      </w:r>
    </w:p>
    <w:p>
      <w:r>
        <w:rPr>
          <w:b/>
        </w:rPr>
        <w:t>И.В.Сталин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