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Про сплочение бизнеса</w:t>
      </w:r>
    </w:p>
    <w:p>
      <w:pPr/>
      <w:r>
        <w:t>2022-08-14</w:t>
      </w:r>
    </w:p>
    <w:p>
      <w:pPr/>
      <w:r>
        <w:t>4 мин. на чтение</w:t>
      </w:r>
    </w:p>
    <w:p>
      <w:r>
        <w:t>Вице-президент, руководитель исполнительного комитета общероссийской общественной организации “Деловая Россия” Нонна Каграманян заявила, что западные санкции хоть и являются бременем для России, но они помогли отечественным предпринимателям объединиться, сплотиться, начать поддерживать друг друга.</w:t>
      </w:r>
    </w:p>
    <w:p>
      <w:pPr>
        <w:pStyle w:val="IntenseQuote"/>
      </w:pPr>
      <w:r>
        <w:t>“Что особенно приятно, бизнес сплотился. Я искренне поражена, как коллеги сейчас поддерживают друг друга, идут на взаимовыручку, делятся своими заботами!” – добавила Каграманян.</w:t>
      </w:r>
    </w:p>
    <w:p>
      <w:r>
        <w:t>“Что особенно приятно, бизнес сплотился. Я искренне поражена, как коллеги сейчас поддерживают друг друга, идут на взаимовыручку, делятся своими заботами!” – добавила Каграманян.</w:t>
      </w:r>
    </w:p>
    <w:p>
      <w:r>
        <w:t>Как пример «единения» бизнеса она приводит активизацию чатов, в которых общаются предприниматели, вспоминает, что «все начали помогать друг другу, когда весной вдруг возник дефицит с кассовыми, чековыми лентами».</w:t>
      </w:r>
    </w:p>
    <w:p>
      <w:r>
        <w:t>Отдельно она отметила, что после начала спецоперации и усиления антироссийских санкций у бизнеса «не было никакой паники»</w:t>
      </w:r>
    </w:p>
    <w:p>
      <w:pPr>
        <w:pStyle w:val="IntenseQuote"/>
      </w:pPr>
      <w:r>
        <w:t>“Было, наверно, временное замешательство: в новой реальности надо было просто разобраться. Паника, скажу вам, вообще несвойственна деловым людям. Ведь у каждого из них холодная голова, трезвый расчет. Им иначе нельзя. Если поддашься эмоциям, легко совершишь ошибку, загубишь и себя, и свое производство, за которым стоят люди”, — подчеркнула Каграманян.</w:t>
      </w:r>
    </w:p>
    <w:p>
      <w:r>
        <w:t>“Было, наверно, временное замешательство: в новой реальности надо было просто разобраться. Паника, скажу вам, вообще несвойственна деловым людям. Ведь у каждого из них холодная голова, трезвый расчет. Им иначе нельзя. Если поддашься эмоциям, легко совершишь ошибку, загубишь и себя, и свое производство, за которым стоят люди”, — подчеркнула Каграманян.</w:t>
      </w:r>
    </w:p>
    <w:p>
      <w:r>
        <w:t>Нельзя не согласиться с г-жой Каграманян в том, что в бизнесе очень важны «холодная голова и трезвый расчёт». Ведь правильное ведение бизнеса предполагает умение из всего извлекать прибыль и пользоваться возникающими ситуациями с максимальной для себя пользой.</w:t>
      </w:r>
    </w:p>
    <w:p>
      <w:r>
        <w:t>Что же мы увидим, если посмотрим на «бизнес-новости» последних месяцев?</w:t>
      </w:r>
    </w:p>
    <w:p>
      <w:r>
        <w:t>После начала спецоперации и ужесточения санкций указывалось на бегство из страны ряда крупных бизнесменов (например, по сообщениям прессы, совладелец “Фармстандарта” В. Харитонин вылетел в Дюссельдорф, владелец USM Group А. Усманов отправился в Узбекистан, а затем в Италию, акционер “Лукойла” Вагит Алекперов – в Турцию, гендиректор авиакомпании “Победа” Андрей Калмыков – в Швейцарию, Пётр Авен и Михаил Фридман вышли из совета директоров “Альфа-банка” и тоже покинули Россию, владелец «Северстали» Алексей Мордашов улетел на сейшельские острова, совладельцы АФК «Система» и «Уралхима» В. Евтушенков и Д. Мазепин вылетели в Дубай, владелец золотодобывающей кампании «Полюс» С. Керимов, улетел в Мале, председатель совета директоров КГ «Ренова» В. Вексельберга – в Базель).</w:t>
      </w:r>
    </w:p>
    <w:p>
      <w:r>
        <w:t>Другие, не растерявшись, проявили бизнес-хватку на месте – так, «Интеррос» Владимира Потанина купил 35% в TCS Group у семьи Олега Тинькова в конце апреля. При этом, по словам Тинькова, его заставили продать долю в банке «за копейки» после того, как он публично выступил с заявлением о событиях на Украине.</w:t>
      </w:r>
    </w:p>
    <w:p>
      <w:r>
        <w:t>Касательно крупного бизнеса в целом, можно также отметить неплохие тенденции, например:</w:t>
      </w:r>
    </w:p>
    <w:p>
      <w:pPr>
        <w:pStyle w:val="ListBullet"/>
      </w:pPr>
      <w:r>
        <w:t>за первое полугодие 2022 г. увеличилась чистая прибыль в угольной промышленности (ПАО «Распадская – чистая прибыль выросла в 3,7 раза);</w:t>
      </w:r>
    </w:p>
    <w:p>
      <w:pPr>
        <w:pStyle w:val="ListBullet"/>
      </w:pPr>
      <w:r>
        <w:t>скорректированная чистая прибыль “Русала” по итогам января – июня 2022 года по международным стандартам финансовой отчетности (МСФО) выросла на 1,5% к показателю за аналогичный период прошлого года;</w:t>
      </w:r>
    </w:p>
    <w:p>
      <w:pPr>
        <w:pStyle w:val="ListBullet"/>
      </w:pPr>
      <w:r>
        <w:t>нефтегазовые доходы бюджета по данным Минфина выросли на 28% и достигли 11,2 трлн руб.</w:t>
      </w:r>
    </w:p>
    <w:p>
      <w:r>
        <w:t>Малый и средний бизнес, по данным новостных источников, сегодня оценивает свое финансовое положение гораздо хуже, чем до начала спецоперации на Украине. К середине апреля, к примеру, в стране закрылись больше 36% кинозалов и ожидается, что к концу 2022 года кинотеатры получат совокупный убыток не менее 11 млрд руб.</w:t>
      </w:r>
    </w:p>
    <w:p>
      <w:r>
        <w:t>Основные надежды малого и среднего бизнеса возлагаются на государственные дотационные поддержки и снижение налоговой нагрузки, однако со ссылкой на доклад Счетной палаты о работе ведомства сообщается, что: «количество свободных средств у регионов упало: если раньше до 50% выделяемых Центром средств могли распределяться на местах сообразно местным нуждам, то сейчас таких средств только 28%. Деньги выделяют очень адресно, это имеет минусы для решения насущных проблем регионов».</w:t>
      </w:r>
    </w:p>
    <w:p>
      <w:r>
        <w:t>Касательно основных показателей уровня жизни большинства трудящихся граждан можно отметить следующие тенденции:</w:t>
      </w:r>
    </w:p>
    <w:p>
      <w:pPr>
        <w:pStyle w:val="ListBullet"/>
      </w:pPr>
      <w:r>
        <w:t>по данным Статбюро, инфляция в России с начала года составила 11,40%, а в годовом исчислении – 15,90%, и страна продолжает занимать лидирующие позиции в мире по уровню инфляции;</w:t>
      </w:r>
    </w:p>
    <w:p>
      <w:pPr>
        <w:pStyle w:val="ListBullet"/>
      </w:pPr>
      <w:r>
        <w:t>реальные денежные доходы населения в первом полугодии 2022 года составили лишь 98,6% от аналогичного показателя 2021 года, то есть уменьшились на 1,4%;</w:t>
      </w:r>
    </w:p>
    <w:p>
      <w:pPr>
        <w:pStyle w:val="ListBullet"/>
      </w:pPr>
      <w:r>
        <w:t>по прогнозам Центра стратегических разработок (ЦСР), к концу 2022 года в большинстве российских регионов усилится безработица;</w:t>
      </w:r>
    </w:p>
    <w:p>
      <w:pPr>
        <w:pStyle w:val="ListBullet"/>
      </w:pPr>
      <w:r>
        <w:t>указывается и на возросшую закредитованность россиян – по данным Национального бюро кредитных историй (НБКИ), за год кредитная нагрузка граждан России увеличилась на 1,5 триллиона рублей и на начало июня общий размер долга россиян перед банками составил 25,47 трлн рублей.</w:t>
      </w:r>
    </w:p>
    <w:p>
      <w:r>
        <w:t>Таким образом, заявленное в заглавной новости «единение бизнеса» за жизнеутверждающими словами скрывает далеко не столь же жизнеутверждающие реалии. Рыночные капиталистические отношения, наиболее полно обнажающие свою сущность в ими же создаваемых кризисных ситуациях, остаются неизменными:</w:t>
      </w:r>
    </w:p>
    <w:p>
      <w:pPr>
        <w:pStyle w:val="ListBullet"/>
      </w:pPr>
      <w:r>
        <w:t>крупный бизнес делится на два лагеря – один из которых стремительно отделяется от своей страны в попытках сохранить состояние и доходы, другой – остаётся, подгребает под себя капитал более слабых «партнёров» и наращивает международную торговлю, демонстрируя рекордный рост прибыли;</w:t>
      </w:r>
    </w:p>
    <w:p>
      <w:pPr>
        <w:pStyle w:val="ListBullet"/>
      </w:pPr>
      <w:r>
        <w:t>мелкий и средний бизнес, лишённый монополистических возможностей, испытывает спад, увеличение числа банкротств и связывает своё выживание лишь с дотационными поддержками и налоговыми послаблениями государства;</w:t>
      </w:r>
    </w:p>
    <w:p>
      <w:pPr>
        <w:pStyle w:val="ListBullet"/>
      </w:pPr>
      <w:r>
        <w:t>большинство простых трудящихся продолжают, как всегда, испытывать на себе все тяготы последствий капиталистических отношений, в кризисные периоды лишь усугубляющиеся – нарастающая инфляция, снижение реальных доходов, усиление безработицы и закредитованность перед банками.</w:t>
      </w:r>
    </w:p>
    <w:p>
      <w:r>
        <w:t>Стоит ли говорить, что в условиях капиталистических отношений, как внутренних, так и внешних, их устройство никогда не позволит прийти к каким-то иным перспективам, нежели вышеуказанные тенденции. К ним можно добавить не прекращающиеся тенденции роста внутреннего и внешнего сепаратизма, национализма, милитаризма и усиливающихся военных угроз.</w:t>
      </w:r>
    </w:p>
    <w:p>
      <w:r>
        <w:t>Причём крайними, наиболее сильно испытывающими на себе все тяготы этих тенденций при капитализме всегда будем мы – простые трудящиеся, составляющие большинство общества на земле.</w:t>
      </w:r>
    </w:p>
    <w:p>
      <w:r>
        <w:t>До тех пор, пока не избавимся от диктатуры капиталистического экономического устройства общества, противопоставив ей социалистическую диктатуру трудящихся, основанную не на частной, а на общественной собственности на средства производства, не на лживом солидаризме разных экономичесикх классов, а на солидарности одного трудящегося класса, не разделяющую, а объединяющую людей и народы всех национальностей в одну большую трудовую семью – положение вещей не изменится.</w:t>
      </w:r>
    </w:p>
    <w:p>
      <w:r>
        <w:t xml:space="preserve">Источники: ЦарьградТВ – </w:t>
      </w:r>
      <w:hyperlink r:id="rId9">
        <w:r>
          <w:rPr>
            <w:color w:val="0000FF"/>
            <w:u w:val="single"/>
          </w:rPr>
          <w:t>«Улетели, но обещали вернуться: список “элитных” беглецов, которых Россия не ждёт обратно»</w:t>
        </w:r>
      </w:hyperlink>
      <w:r>
        <w:t xml:space="preserve"> от 24 марта 2022 г.</w:t>
      </w:r>
    </w:p>
    <w:p>
      <w:r>
        <w:t xml:space="preserve">Новые Известия – </w:t>
      </w:r>
      <w:hyperlink r:id="rId10">
        <w:r>
          <w:rPr>
            <w:color w:val="0000FF"/>
            <w:u w:val="single"/>
          </w:rPr>
          <w:t>«Подальше от беды: где пересиживают плохие времена российские олигархи»</w:t>
        </w:r>
      </w:hyperlink>
      <w:r>
        <w:t xml:space="preserve"> от 16 марта 2022 г.</w:t>
      </w:r>
    </w:p>
    <w:p>
      <w:r>
        <w:t xml:space="preserve">РБК – </w:t>
      </w:r>
      <w:hyperlink r:id="rId11">
        <w:r>
          <w:rPr>
            <w:color w:val="0000FF"/>
            <w:u w:val="single"/>
          </w:rPr>
          <w:t>«Тиньков заявил, что его заставили продать банк»</w:t>
        </w:r>
      </w:hyperlink>
      <w:r>
        <w:t xml:space="preserve"> от 02 мая 2022 г.</w:t>
      </w:r>
    </w:p>
    <w:p>
      <w:hyperlink r:id="rId12">
        <w:r>
          <w:rPr>
            <w:color w:val="0000FF"/>
            <w:u w:val="single"/>
          </w:rPr>
          <w:t>Данные с сайта статбюро</w:t>
        </w:r>
      </w:hyperlink>
    </w:p>
    <w:p>
      <w:r>
        <w:t xml:space="preserve">Маяк – </w:t>
      </w:r>
      <w:hyperlink r:id="rId13">
        <w:r>
          <w:rPr>
            <w:color w:val="0000FF"/>
            <w:u w:val="single"/>
          </w:rPr>
          <w:t>«Как изменились реальные доходы населения за год показал Росстат»</w:t>
        </w:r>
      </w:hyperlink>
      <w:r>
        <w:t xml:space="preserve"> от 28 июля 2022 г.</w:t>
      </w:r>
    </w:p>
    <w:p>
      <w:r>
        <w:t xml:space="preserve">BSC express – </w:t>
      </w:r>
      <w:hyperlink r:id="rId14">
        <w:r>
          <w:rPr>
            <w:color w:val="0000FF"/>
            <w:u w:val="single"/>
          </w:rPr>
          <w:t>«Чистая прибыль Распадской выросла в 3,7 раза, но акции упали. Что происходит»</w:t>
        </w:r>
      </w:hyperlink>
      <w:r>
        <w:t xml:space="preserve"> от 11 августа 2022 г.</w:t>
      </w:r>
    </w:p>
    <w:p>
      <w:r>
        <w:t xml:space="preserve">РБК – </w:t>
      </w:r>
      <w:hyperlink r:id="rId15">
        <w:r>
          <w:rPr>
            <w:color w:val="0000FF"/>
            <w:u w:val="single"/>
          </w:rPr>
          <w:t>«Доля нефтегазового сектора в ВВП установила рекорд»</w:t>
        </w:r>
      </w:hyperlink>
      <w:r>
        <w:t xml:space="preserve"> от 20 июля 2022 г.</w:t>
      </w:r>
    </w:p>
    <w:p>
      <w:r>
        <w:t xml:space="preserve">Независимая газета – </w:t>
      </w:r>
      <w:hyperlink r:id="rId16">
        <w:r>
          <w:rPr>
            <w:color w:val="0000FF"/>
            <w:u w:val="single"/>
          </w:rPr>
          <w:t>«Малый и средний бизнес переходит в режим самоспасения»</w:t>
        </w:r>
      </w:hyperlink>
      <w:r>
        <w:t xml:space="preserve"> от 14 июня 2022 г.</w:t>
      </w:r>
    </w:p>
    <w:p>
      <w:r>
        <w:t xml:space="preserve">МК.РУ – </w:t>
      </w:r>
      <w:hyperlink r:id="rId17">
        <w:r>
          <w:rPr>
            <w:color w:val="0000FF"/>
            <w:u w:val="single"/>
          </w:rPr>
          <w:t>«Начнется уже в июне: прогноз безработицы в России вызвал тяжелые чувства»</w:t>
        </w:r>
      </w:hyperlink>
      <w:r>
        <w:t xml:space="preserve"> от 10 июня 2022 г.</w:t>
      </w:r>
      <w:r/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tsargrad.tv/articles/uleteli-no-obeshhali-vernutsja-spisok-jelitnyh-beglecov-kotoryh-rossija-ne-zhdet-obratno_517658" TargetMode="External"/><Relationship Id="rId10" Type="http://schemas.openxmlformats.org/officeDocument/2006/relationships/hyperlink" Target="https://newizv.ru/news/business/16-03-2022/podalshe-ot-bedy-gde-peresizhivayut-plohie-vremena-rossiyskie-oligarhi" TargetMode="External"/><Relationship Id="rId11" Type="http://schemas.openxmlformats.org/officeDocument/2006/relationships/hyperlink" Target="https://www.rbc.ru/business/02/05/2022/626f696d9a79475493bb9b2b" TargetMode="External"/><Relationship Id="rId12" Type="http://schemas.openxmlformats.org/officeDocument/2006/relationships/hyperlink" Target="https://www.statbureau.org/" TargetMode="External"/><Relationship Id="rId13" Type="http://schemas.openxmlformats.org/officeDocument/2006/relationships/hyperlink" Target="https://mayaksbor.ru/news/society/kak_izmenilis_realnye_dokhody_naseleniya_za_god_pokazal_rosstat/" TargetMode="External"/><Relationship Id="rId14" Type="http://schemas.openxmlformats.org/officeDocument/2006/relationships/hyperlink" Target="https://bcs-express.ru/novosti-i-analitika/raspadskaia-otchitalas-za-i-polugodie-chistaia-pribyl-vyrosla-v-3-7-raza" TargetMode="External"/><Relationship Id="rId15" Type="http://schemas.openxmlformats.org/officeDocument/2006/relationships/hyperlink" Target="https://www.rbc.ru/economics/20/07/2022/62d7d37a9a79475b6658bbe6" TargetMode="External"/><Relationship Id="rId16" Type="http://schemas.openxmlformats.org/officeDocument/2006/relationships/hyperlink" Target="https://www.ng.ru/economics/2022-06-14/1_8460_business.html" TargetMode="External"/><Relationship Id="rId17" Type="http://schemas.openxmlformats.org/officeDocument/2006/relationships/hyperlink" Target="https://www.mk.ru/economics/2022/06/10/nachnetsya-uzhe-v-iyune-prognoz-bezraboticy-v-rossii-vyzval-tyazhelye-chuvstva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