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утвердило демографическую стратегию до 2036 года</w:t>
      </w:r>
    </w:p>
    <w:p>
      <w:pPr/>
      <w:r>
        <w:t>2025-04-14</w:t>
      </w:r>
    </w:p>
    <w:p>
      <w:pPr/>
      <w:r>
        <w:t>2 мин. на чтение</w:t>
      </w:r>
    </w:p>
    <w:p>
      <w:r>
        <w:t>Как отмечают СМИ, недавно принятая Стратегия семейной и демографической политики является лишь бюрократическим документом. По факту, он - лишь сборник мер поддержки, не предлагающий действительного решения по демографическому кризису. В самом документе указываются причины снижения рождаемости: недостаточные доходы семей, высокая степень закредитованности, недостаточная развитость инфраструктуры в сёлах и т.д. [</w:t>
      </w:r>
      <w:hyperlink r:id="rId9">
        <w:r>
          <w:rPr>
            <w:color w:val="0000FF"/>
            <w:u w:val="single"/>
          </w:rPr>
          <w:t>1</w:t>
        </w:r>
      </w:hyperlink>
      <w:r>
        <w:t>][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]. </w:t>
      </w:r>
    </w:p>
    <w:p>
      <w:r>
        <w:t xml:space="preserve">Власти прекрасно видят причины демографического кризиса, однако не предпринимают эффективных шагов для его решения. Это неудивительно: мы живём при капитализме, в котором приоритет отдан максимизации прибыли, а не общественным интересам. В подобных условиях реальная власть принадлежит крупному частному капиталу, а правительство действует преимущественно в его интересах. </w:t>
      </w:r>
    </w:p>
    <w:p>
      <w:r>
        <w:t xml:space="preserve">Показательный пример — законопроект, увеличивающий лимит сверхурочной работы со 120 до 240 часов в год, упрощающий порядок увольнений и регламентирующий переработки в пользу работодателей. </w:t>
      </w:r>
    </w:p>
    <w:p>
      <w:r>
        <w:t>Как объяснили в Госдуме, никто не имеет право заставить работать россиян сверхурочно. Более того, предусмотрена административная ответственность за нарушение установленных норм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]. В реальности же трудящиеся вынуждены перерабатывать под угрозой снижения зарплаты или увольнения. </w:t>
      </w:r>
    </w:p>
    <w:p>
      <w:r>
        <w:t xml:space="preserve">Новые поправки лишь усилят их правовую незащищенность: упрощенная процедура увольнения позволит предпринимателям сильнее давить на работников. В то время как трудящиеся терпят лишения, крупные предприниматели становятся участниками списков Forbes. Так состояние десяти богатейших россиян, владельцев крупнейших компаний и банков, достигает 227,2 млрд долларов, т.е. более 19 трлн рублей. </w:t>
      </w:r>
    </w:p>
    <w:p>
      <w:r>
        <w:t>Примечательно, в этом году число миллиардеров из России выросло на 21 человек и достигло 146. Совокупное состояние миллиардеров увеличилось за год на 50 млрд долларов и составило 625,5 млрд долларов, т.е почти 53 трлн рублей. В тоже время, доход России за 2024 год по данным Минфина составил почти 37 трлн рублей [</w:t>
      </w:r>
      <w:hyperlink r:id="rId12">
        <w:r>
          <w:rPr>
            <w:color w:val="0000FF"/>
            <w:u w:val="single"/>
          </w:rPr>
          <w:t>4</w:t>
        </w:r>
      </w:hyperlink>
      <w:r>
        <w:t>][</w:t>
      </w:r>
      <w:hyperlink r:id="rId13">
        <w:r>
          <w:rPr>
            <w:color w:val="0000FF"/>
            <w:u w:val="single"/>
          </w:rPr>
          <w:t>5</w:t>
        </w:r>
      </w:hyperlink>
      <w:r>
        <w:t xml:space="preserve">]. </w:t>
      </w:r>
    </w:p>
    <w:p>
      <w:r>
        <w:t xml:space="preserve">Всего 10 человек владеют состоянием в 51% от дохода страны, а 146 человек, вместе взятых, превышают этот доход на 43%. Все эти средства как раз-таки могли бы пойти на решением проблем с демографией. Но пока существует капитализм, а власть принадлежит немногим крупным частным собственникам, эти средства будут оставаться у них в руках и тратиться на роскошь. </w:t>
      </w:r>
    </w:p>
    <w:p>
      <w:r>
        <w:t>В тоже время, большинство граждан вынуждены выживать, ведь зарплаты хватает только на основные нужды, но и то не всегда. А ведь именно трудящиеся, а не кучка богачей, создают всё, чем мы пользуемся: жильё, одежда, пища. Только с уничтожением капитализма можно будет достичь благосостояния всех граждан. Тогда и станет возможным решение проблемы демографии.</w:t>
      </w:r>
    </w:p>
    <w:p>
      <w:r>
        <w:t>Источники:</w:t>
      </w:r>
    </w:p>
    <w:p>
      <w:r>
        <w:t>[1] Накануне.RU — «</w:t>
      </w:r>
      <w:hyperlink r:id="rId9">
        <w:r>
          <w:rPr>
            <w:color w:val="0000FF"/>
            <w:u w:val="single"/>
          </w:rPr>
          <w:t>Власти приняли демографическую стратегию, которая "не имеет отношения к демографии</w:t>
        </w:r>
      </w:hyperlink>
      <w:r>
        <w:t xml:space="preserve">"» от  28 марта 2025 г. </w:t>
      </w:r>
    </w:p>
    <w:p>
      <w:r>
        <w:t>[2] Правительство России — «</w:t>
      </w:r>
      <w:hyperlink r:id="rId10">
        <w:r>
          <w:rPr>
            <w:color w:val="0000FF"/>
            <w:u w:val="single"/>
          </w:rPr>
          <w:t>Правительство утвердило Стратегию действий по реализации семейной и демографической политики до 2036 года</w:t>
        </w:r>
      </w:hyperlink>
      <w:r>
        <w:t xml:space="preserve">» от 24 марта 2025 г. </w:t>
      </w:r>
    </w:p>
    <w:p>
      <w:r>
        <w:t>[3] Газета.RU — «</w:t>
      </w:r>
      <w:hyperlink r:id="rId11">
        <w:r>
          <w:rPr>
            <w:color w:val="0000FF"/>
            <w:u w:val="single"/>
          </w:rPr>
          <w:t>В Госдуме объяснили, зачем россиянам перерабатывать 240 часов в год</w:t>
        </w:r>
      </w:hyperlink>
      <w:r>
        <w:t>» от 2 апреля 2025 г.</w:t>
      </w:r>
    </w:p>
    <w:p>
      <w:r>
        <w:t>[4] Forbes— «</w:t>
      </w:r>
      <w:hyperlink r:id="rId12">
        <w:r>
          <w:rPr>
            <w:color w:val="0000FF"/>
            <w:u w:val="single"/>
          </w:rPr>
          <w:t>20 богатейших российских бизнесменов в глобальном рейтинге Forbes — 2025</w:t>
        </w:r>
      </w:hyperlink>
      <w:r>
        <w:t>» от 2 апреля 2025 г.</w:t>
      </w:r>
    </w:p>
    <w:p>
      <w:r>
        <w:t>[5] Минфин России — «</w:t>
      </w:r>
      <w:hyperlink r:id="rId13">
        <w:r>
          <w:rPr>
            <w:color w:val="0000FF"/>
            <w:u w:val="single"/>
          </w:rPr>
          <w:t>Предварительная оценка исполнения федерального бюджета за 2024 год</w:t>
        </w:r>
      </w:hyperlink>
      <w:r>
        <w:t xml:space="preserve">» от 20 января 2025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akanune.ru/articles/123323/" TargetMode="External"/><Relationship Id="rId10" Type="http://schemas.openxmlformats.org/officeDocument/2006/relationships/hyperlink" Target="http://government.ru/docs/54573/" TargetMode="External"/><Relationship Id="rId11" Type="http://schemas.openxmlformats.org/officeDocument/2006/relationships/hyperlink" Target="https://www.gazeta.ru/social/news/2025/04/02/25460816.shtml" TargetMode="External"/><Relationship Id="rId12" Type="http://schemas.openxmlformats.org/officeDocument/2006/relationships/hyperlink" Target="https://www.forbes.ru/milliardery/533646-20-bogatejsih-rossijskih-biznesmenov-v-global-nom-rejtinge-forbes-2025" TargetMode="External"/><Relationship Id="rId13" Type="http://schemas.openxmlformats.org/officeDocument/2006/relationships/hyperlink" Target="https://minfin.gov.ru/ru/press-center/?id_4=39570-predvaritelnaya_otsenka_ispolneniya_federalnogo_byudzheta_za_2024_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