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важности марксистской теории</w:t>
      </w:r>
    </w:p>
    <w:p>
      <w:pPr/>
      <w:r>
        <w:t>2019-09-20</w:t>
      </w:r>
    </w:p>
    <w:p>
      <w:pPr/>
    </w:p>
    <w:p>
      <w:r>
        <w:rPr>
          <w:i/>
        </w:rPr>
        <w:t>“Отсутствие теории отнимает право существования у революционного направления и неизбежно осуждает его, рано или поздно, на политический крах”.</w:t>
      </w:r>
    </w:p>
    <w:p>
      <w:r>
        <w:rPr>
          <w:b/>
        </w:rPr>
        <w:t>В.И.Ленин, ПСС, Т.6, с.379.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