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предстоящих выборах в Беларуси</w:t>
      </w:r>
    </w:p>
    <w:p>
      <w:pPr/>
      <w:r>
        <w:t>2024-02-12</w:t>
      </w:r>
    </w:p>
    <w:p>
      <w:pPr/>
      <w:r>
        <w:t>2 мин. на чтение</w:t>
      </w:r>
    </w:p>
    <w:p>
      <w:r>
        <w:t xml:space="preserve">24 февраля в Беларуси </w:t>
      </w:r>
      <w:hyperlink r:id="rId9">
        <w:r>
          <w:rPr>
            <w:color w:val="0000FF"/>
            <w:u w:val="single"/>
          </w:rPr>
          <w:t>состоятся</w:t>
        </w:r>
      </w:hyperlink>
      <w:r>
        <w:t xml:space="preserve"> выборы в депутаты Палаты представителей и депутаты местных советов. На 110 кандидатских мест Палате представителей новоиспеченная партия “Белая Русь” выставляет 112 претендентов из 265. На 12514 должностей депутатов местных советов от “Белой Руси” претендуют 5187 из 18802 кандидатов.</w:t>
      </w:r>
    </w:p>
    <w:p>
      <w:r>
        <w:t>Аппетиты либерально-демократической, коммунистической, а также республиканской партии труда и справедливости оказались куда скромнее. Они выставили 36, 33 и 22 кандидата в депутаты Палаты представителей соответственно. Так же 215, 700 и 484 кандидата претендуют занять места депутатов местных советов.</w:t>
      </w:r>
    </w:p>
    <w:p>
      <w:r>
        <w:t>Партия “Белая Русь” была зарегистрирована 2 мая 2023 года. До этого “Белая Русь” была общественным объединением, выражавшим максимальную консолидацию всего белорусского общества с политикой, проводимой главой государства. Устав действующей партии базируется на приоритетности национальных интересов, культурных традиций (поддержка традиционных религий), исторической памяти, патриотических ценностей белорусского народа, суверенитете и независимости государства.</w:t>
      </w:r>
    </w:p>
    <w:p>
      <w:r>
        <w:t>Нация в своем большинстве состоит из классов предпринимателей и тех, кто на них работает. У этих двух классов антагонистические объективные материальные интересы. Первых интересует максимальное извлечение прибыли из части неоплаченного труда последних (эксплуатация человека человеком). Следовательно, у наёмных рабочих объективный материальный интерес состоит в ликвидации всякой эксплуатации. Таким образом конкретный классовый интерес предпринимателей подменяется вездесущим и всеобъемлющим национальным интересом.</w:t>
      </w:r>
    </w:p>
    <w:p>
      <w:r>
        <w:t>В свою очередь поддержка религии помогает держать рабочий класс в узде, путём формирования идеалистического мировоззрения, где общественные события происходят по высшему замыслу, не зависящему от воли людей. Такие учения морально обезоруживают рабочий класс, отбивают желание и способность сопротивления, что на руку бизнесменам.</w:t>
      </w:r>
    </w:p>
    <w:p>
      <w:r>
        <w:t>Программа партии, обещающая рост экономики, повышение благосостояния народа, справедливого распределения доходов через бесплатные здравоохранение и образование, равный доступ к финансовым средствам не только крупнейшего, но среднего и мелкого бизнеса, привлекла на свою сторону представителей разных социальных групп. В состав партии входят как представители рабочих профессий и служащих, так и представители предприятий и сами предприниматели. Консолидации различных общественных групп также способствовало наличие в членах партии медийных личностей.</w:t>
      </w:r>
    </w:p>
    <w:p>
      <w:r>
        <w:t>Подавляющее большинство членов “Белой Руси” в кандидатах должно обеспечить по итогам выборов сравнительное большинство как в Палате представителей, так и в местных советах. Таким образом белорусская буржуазия переходит на новый уровень политической работы. Партийное большинство в законодательной и исполнительной ветвях власти должно придать большей демократичности и легитимности законопроектам, наступающих на права трудящихся и ухудшающих их положение. Например, ситуация с повышением пенсионного возраста.</w:t>
      </w:r>
    </w:p>
    <w:p>
      <w:r>
        <w:t xml:space="preserve">Источник: Белта - </w:t>
      </w:r>
      <w:hyperlink r:id="rId9">
        <w:r>
          <w:rPr>
            <w:color w:val="0000FF"/>
            <w:u w:val="single"/>
          </w:rPr>
          <w:t>«В ЦИК рассказали о кандидатах в депутаты Палаты представителей и местных советов»</w:t>
        </w:r>
      </w:hyperlink>
      <w:r>
        <w:t xml:space="preserve"> от 31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elta.by/society/view/v-tsik-rasskazali-o-kandidatah-v-deputaty-palaty-predstavitelej-i-mestnyh-sovetov-612844-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