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Немецкий генерал о царской и Красной армии</w:t>
      </w:r>
    </w:p>
    <w:p>
      <w:pPr/>
      <w:r>
        <w:t>2017-05-09</w:t>
      </w:r>
    </w:p>
    <w:p>
      <w:pPr/>
    </w:p>
    <w:p>
      <w:r>
        <w:rPr>
          <w:i/>
        </w:rPr>
        <w:t>«То, что солдаты Красной Армии продолжали сражаться в самых безнадежных ситуациях, совершенно не заботясь о собственной жизни, можно в значительной степени приписать храброму поведению комиссаров. Разница между Российской Императорской Армией в годы ПМВ и Красной Армией даже в самые первые дни германского вторжения была просто колоссальной. Если в прошлой войне русская армия сражалась как более или менее аморфная масса, малоподвижная, лишенная индивидуальностей, духовный подъем, вызванный идеями коммунизма, начал сказываться уже летом 1941 года»</w:t>
      </w:r>
    </w:p>
    <w:p>
      <w:r>
        <w:rPr>
          <w:b/>
        </w:rPr>
        <w:t>Генерал Эрхард Раус,</w:t>
      </w:r>
      <w:r>
        <w:t xml:space="preserve"> “Танковые сражения на Восточном фронте”.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