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Минстрой в бизнес не вмешивается</w:t>
      </w:r>
    </w:p>
    <w:p>
      <w:pPr/>
      <w:r>
        <w:t>2022-02-08</w:t>
      </w:r>
    </w:p>
    <w:p>
      <w:pPr/>
      <w:r>
        <w:t>1 мин. на чтение</w:t>
      </w:r>
    </w:p>
    <w:p>
      <w:r>
        <w:t>По сообщению консалтинговой компании Colliers, средняя площадь квартир в московских новостройках в экспозиции снизилась по итогам 2021 года на 15% по сравнению с 2020 годом. При этом средняя цена квадратного метра новостроек в Москве выросла на 21%, что связано с ростом ключевой ставки Банка России, удорожанием строительства и снижением объема предложения.</w:t>
      </w:r>
    </w:p>
    <w:p>
      <w:r>
        <w:t>На этом фоне заместителю министра строительства и ЖКХ России Никите Стасишину на конференции “Девелопмент новой волны” представителем строительной организации был задан вопрос о том, предполагаются ли со стороны министерства меры по предотвращению ситуации, когда застройщики снижают среднюю площадь жилья, чтобы в условиях роста цен сохранить “чек”.</w:t>
      </w:r>
    </w:p>
    <w:p>
      <w:r>
        <w:t>И вот что ответил чиновник:</w:t>
      </w:r>
    </w:p>
    <w:p>
      <w:pPr>
        <w:pStyle w:val="IntenseQuote"/>
      </w:pPr>
      <w:r>
        <w:t>“Конечно, нет. А зачем? Это ваш бизнес. Мы не вмешиваемся и не регулируем ваш продукт. Просто я призываю вас внимательнее смотреть”.</w:t>
      </w:r>
    </w:p>
    <w:p>
      <w:r>
        <w:t>“Конечно, нет. А зачем? Это ваш бизнес. Мы не вмешиваемся и не регулируем ваш продукт. Просто я призываю вас внимательнее смотреть”.</w:t>
      </w:r>
    </w:p>
    <w:p>
      <w:r>
        <w:t>Капитализм продолжает развиваться по неизменным для него законам «рынка». Необходимость капиталистической максимизации прибыли при минимизации издержек сказывается на всём, в том числе и на сокращении площади строящегося жилья, при одновременно возрастающей его стоимости.</w:t>
      </w:r>
    </w:p>
    <w:p>
      <w:r>
        <w:t>Слова государственного чиновника в очередной раз наглядно демонстрируют чьи интересы защищает представляемое им капиталистическое государство – преобладающей массы трудящихся, или представителей капитала.</w:t>
      </w:r>
    </w:p>
    <w:p>
      <w:r>
        <w:t>Ответ представляется очевидным, а происходящее – закономерным. Постепенно и неравномерно, но неуклонно развитие капиталистического общества происходит строго в соответствии с экономическими закономерностями. И итог такого развития всегда один – ухудшение жизненных условий трудящейся массы населения.</w:t>
      </w:r>
    </w:p>
    <w:p>
      <w:r>
        <w:t>Альтернативой может лишь быть переход на социалистическое экономическое устройство, при котором отсутствует частная собственность на средства производства и роль государства заключается в защите интересов большинства трудящихся, а не эксплуатирующих их труд представителей частного капитала, как это происходит при капиталистической экономике.</w:t>
      </w:r>
    </w:p>
    <w:p>
      <w:r>
        <w:t>Источник: ИА ТАСС – «Минстрой не планирует регулировать минимальную площадь квартир в новостройках» от 02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