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прямые инвестиции</w:t>
      </w:r>
    </w:p>
    <w:p>
      <w:pPr/>
      <w:r>
        <w:t>2018-03-23</w:t>
      </w:r>
    </w:p>
    <w:p>
      <w:pPr/>
    </w:p>
    <w:p>
      <w:r>
        <w:rPr>
          <w:b/>
        </w:rPr>
        <w:t>Прямые инвестиции –</w:t>
      </w:r>
      <w:r>
        <w:t xml:space="preserve"> вложения денежных средств в материальное производство и сбыт с целью участия в управлении предприятием или компанией, а также получении дохода от участия в их деятельности.</w:t>
      </w:r>
    </w:p>
    <w:p>
      <w:r>
        <w:t>Прямые иностранные инвестиции делятся на исходящие, то есть прямые инвестиции, осуществлённые субъектами данной страны за рубежом, и входящие, то есть прямые инвестиции, осуществлённые иностранными инвесторами в данной стране.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