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организационный принцип партии</w:t>
      </w:r>
    </w:p>
    <w:p>
      <w:pPr/>
      <w:r>
        <w:t>2017-11-06</w:t>
      </w:r>
    </w:p>
    <w:p>
      <w:pPr/>
    </w:p>
    <w:p>
      <w:r>
        <w:rPr>
          <w:b/>
        </w:rPr>
        <w:t>Организационный принцип партии</w:t>
      </w:r>
      <w:r>
        <w:t xml:space="preserve"> – основополагающие правила внутренней и внешней работы партии, основная организационная модель организации.</w:t>
      </w:r>
    </w:p>
    <w:p>
      <w:r>
        <w:t>Организационный принцип определяет суть, форму и способ отношений между членами организации; между подразделениями организации, а также их статус и полномочия; между подразделением и центральным руководящим органом, между членом и центральным органом, а также статус и полномочия центрального руководящего органа.</w:t>
      </w:r>
    </w:p>
    <w:p>
      <w:r>
        <w:t>В соответствии с этим можно выделить 4 партийных организационных принципа: федерализм, централизм, демократический централизм, «демократический конфедерализм».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