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Ликбез: фиктивный капитал</w:t>
      </w:r>
    </w:p>
    <w:p>
      <w:pPr/>
      <w:r>
        <w:t>2018-01-29</w:t>
      </w:r>
    </w:p>
    <w:p>
      <w:pPr/>
      <w:r>
        <w:t>1 мин. на чтение</w:t>
      </w:r>
    </w:p>
    <w:p>
      <w:r>
        <w:rPr>
          <w:b/>
        </w:rPr>
        <w:t xml:space="preserve">Фиктивный капитал – </w:t>
      </w:r>
      <w:r>
        <w:t>капитал, вложенный в ценные бумаги (акции, облигации, векселя, депозитарные расписки), дающие право их владельцам регулярно присваивать часть прибыли в виде дивиденда или процента.</w:t>
      </w:r>
    </w:p>
    <w:p>
      <w:r>
        <w:t xml:space="preserve"> </w:t>
      </w:r>
    </w:p>
    <w:p>
      <w:r>
        <w:t>Будучи бумажным двойником реального капитала, фиктивный капитал имеет особое движение вне кругооборота действительного капитала. Как специфический товар, он обращается на особом рынке – фондовой бирже и приобретает цену. Цена фиктивного капитала представляет собой капитализированный доход по ценным бумагам. Она прямо пропорциональна величине дохода от ценных бумаг и обратно пропорциональна уровню нормы банковского процента в стране.</w:t>
      </w:r>
    </w:p>
    <w:p>
      <w:r>
        <w:t xml:space="preserve"> </w:t>
      </w:r>
    </w:p>
    <w:p>
      <w:r>
        <w:t>В эпоху империализма в огромных масштабах растет эмиссия ценных бумаг, причём рост фиктивного капитала обгоняет увеличение действительного капитала. Государственно-монополистический контроль над операциями с фиктивным капиталом позволяет использовать последний для покрытия нужд казначейства в дополнительной эмиссии ценных бумаг, увеличивая тем самым размеры контролируемого финансовой олигархией капитала.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