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частная собственность</w:t>
      </w:r>
    </w:p>
    <w:p>
      <w:pPr/>
      <w:r>
        <w:t>2018-07-26</w:t>
      </w:r>
    </w:p>
    <w:p>
      <w:pPr/>
    </w:p>
    <w:p>
      <w:r>
        <w:rPr>
          <w:b/>
        </w:rPr>
        <w:t>Частная собственность –</w:t>
      </w:r>
      <w:r>
        <w:t xml:space="preserve"> исторически определенная общественная форма присвоения материальных благ, прежде всего, средств производства. Характером собственности на средства производства определяется тип производственных отношений.</w:t>
      </w:r>
    </w:p>
    <w:p>
      <w:r>
        <w:t>В историческом процессе выделяется три формы частной собственности – античная, феодальная и буржуазная частная собственность.</w:t>
      </w:r>
    </w:p>
    <w:p>
      <w:r>
        <w:t>В качестве юридического выражения частной собственности можно выделить индивидуальную, коллективную и общеклассовую («государственную») собственность.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