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интересах рабочего класса</w:t>
      </w:r>
    </w:p>
    <w:p>
      <w:pPr/>
      <w:r>
        <w:t>2020-08-12</w:t>
      </w:r>
    </w:p>
    <w:p>
      <w:pPr/>
    </w:p>
    <w:p>
      <w:r>
        <w:t>«Интересы рабочего класса требуют слияния рабочих всех национальностей данного государства в единых пролетарских организациях — политических, профессиональных, кооперативно-просветительных и т. д. Только такое слияние в единых организациях рабочих различных национальностей дает возможность пролетариату вести победоносную борьбу с международным капиталом.»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т.24, с.58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