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роли буржуазного национализма в разделении рабочих</w:t>
      </w:r>
    </w:p>
    <w:p>
      <w:pPr/>
      <w:r>
        <w:t>2021-03-25</w:t>
      </w:r>
    </w:p>
    <w:p>
      <w:pPr/>
    </w:p>
    <w:p>
      <w:r>
        <w:t>«Толкуя больше всего о «национальной культуре», подчеркивая то, что разделяет одну нацию от другой, буржуазный национализм разделяет рабочих разных наций и одурачивает их «национальными лозунгами»»</w:t>
      </w:r>
    </w:p>
    <w:p>
      <w:r>
        <w:rPr>
          <w:b/>
        </w:rPr>
        <w:t>В.И.Ленин, ПСС, т.24, с.236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