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революционной теории</w:t>
      </w:r>
    </w:p>
    <w:p>
      <w:pPr/>
      <w:r>
        <w:t>2018-12-02</w:t>
      </w:r>
    </w:p>
    <w:p>
      <w:pPr/>
    </w:p>
    <w:p>
      <w:r>
        <w:rPr>
          <w:i/>
        </w:rPr>
        <w:t>Давно уже сказано, что без революционной теории не может быть и революционного движения, и в настоящее время вряд ли есть надобность доказывать подобную истину</w:t>
      </w:r>
    </w:p>
    <w:p>
      <w:r>
        <w:t xml:space="preserve"> </w:t>
      </w:r>
    </w:p>
    <w:p>
      <w:r>
        <w:rPr>
          <w:b/>
        </w:rPr>
        <w:t>В.И. Ленин. Задачи русских социал-демократов (конец 1897 г.).— ПСС, 5-е изд, т. 2, с. 462.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