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беспартийности</w:t>
      </w:r>
    </w:p>
    <w:p>
      <w:pPr/>
      <w:r>
        <w:t>2020-08-21</w:t>
      </w:r>
    </w:p>
    <w:p>
      <w:pPr/>
    </w:p>
    <w:p>
      <w:r>
        <w:t>«Равнодушие есть молчаливая поддержка того, кто силен, того, кто господствует. Политическое безразличие есть политическая сытость. «Безразлично», «равнодушно» относится к куску хлеба человек сытый; голодный же всегда будет «партийным» в вопросе о куске хлеба. Беспартийность в буржуазном обществе есть лишь лицемерное, прикрытое, пассивное выражение принадлежности к партии сытых, к партии господствующих, к партии эксплуататоров.»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т.12, с.137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