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Карл Либкнехт о патриотизме капитала</w:t>
      </w:r>
    </w:p>
    <w:p>
      <w:pPr/>
      <w:r>
        <w:t>2022-02-17</w:t>
      </w:r>
    </w:p>
    <w:p>
      <w:pPr/>
    </w:p>
    <w:p>
      <w:r>
        <w:rPr>
          <w:i/>
        </w:rPr>
        <w:t>«Капитал не признаёт отечества, и при этом он тем менее патриотичен, чем больше заявляет о своем патриотизме».</w:t>
      </w:r>
      <w:r>
        <w:br/>
      </w:r>
      <w:r>
        <w:br/>
      </w:r>
      <w:r>
        <w:rPr>
          <w:b/>
        </w:rPr>
        <w:t>— Карл Либкнехт,</w:t>
      </w:r>
      <w:r>
        <w:t xml:space="preserve"> деятель германского и международного рабочего и социалистического движения, один из основателей компартии Германии.</w:t>
      </w:r>
      <w:r>
        <w:br/>
      </w:r>
      <w:r>
        <w:br/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