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Карл Либкнехт о буржуазном патриотизме</w:t>
      </w:r>
    </w:p>
    <w:p>
      <w:pPr/>
      <w:r>
        <w:t>2018-12-20</w:t>
      </w:r>
    </w:p>
    <w:p>
      <w:pPr/>
    </w:p>
    <w:p>
      <w:r>
        <w:rPr>
          <w:i/>
        </w:rPr>
        <w:t>«Пресловутый истинно «воинский дух», а также «патриотический дух», или, как его еще называют в Пруссии и Германии, «дух преданности королю», означает, коротко говоря, готовность в любой момент выступить по приказанию как против внешнего, так и против внутреннего врага. Для создания такого духа сама по себе наилучшей является полная притупленность или, по крайней мере, возможно более низкая способность к рассуждению, позволяющая гнать массы народа, подобно стаду, туда, куда предписывают интересы «существующего порядка».</w:t>
      </w:r>
    </w:p>
    <w:p>
      <w:r>
        <w:rPr>
          <w:b/>
        </w:rPr>
        <w:t>Карл Либкнехт, “Милитаризм и антимилитаризм”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