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об антигуманистическом наследии империализма</w:t>
      </w:r>
    </w:p>
    <w:p>
      <w:pPr/>
      <w:r>
        <w:t>2019-12-03</w:t>
      </w:r>
    </w:p>
    <w:p>
      <w:pPr/>
      <w:r>
        <w:t>1 мин. на чтение</w:t>
      </w:r>
    </w:p>
    <w:p>
      <w:r>
        <w:t>«Империализм создал условия для расцвета расизма, шовинизма, человеконенавистничества. Ведь по сути российский царизм оказался в известной мере учителем немецкого гитлеризма и ныне процветающих в США и других империалистических странах расизма и шовинизма. В негритянских процессах мы видим отзвуки царской охранки и юстиции, состряпавших дело Бейлиса. Революция колониальных народов нанесла удар по расизму и империалистическому человеконенавистничеству, но нельзя думать, что с ним покончено. Наоборот, чем ближе могила империализма, тем острее он будет хвататься за расистские приемы и жестокости. Это надо помнить, особенно революционерам, коммунистам.»</w:t>
      </w:r>
    </w:p>
    <w:p>
      <w:r>
        <w:rPr>
          <w:b/>
        </w:rPr>
        <w:t>Л.М.Каганович «Памятные записки»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