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Ипотечный долг россиян за 2023 год составил почти 8 трлн рублей</w:t>
      </w:r>
    </w:p>
    <w:p>
      <w:pPr/>
      <w:r>
        <w:t>2024-04-17</w:t>
      </w:r>
    </w:p>
    <w:p>
      <w:pPr/>
      <w:r>
        <w:t>1 мин. на чтение</w:t>
      </w:r>
    </w:p>
    <w:p>
      <w:r>
        <w:t xml:space="preserve">Специалисты в области ипотечного кредитования дали оценку минувшему 2023 году и </w:t>
      </w:r>
      <w:hyperlink r:id="rId9">
        <w:r>
          <w:rPr>
            <w:color w:val="0000FF"/>
            <w:u w:val="single"/>
          </w:rPr>
          <w:t>сделали</w:t>
        </w:r>
      </w:hyperlink>
      <w:r>
        <w:t xml:space="preserve"> прогноз на этот год. По их словам ситуация на рынке жилья тревожная и противоречивая. Жильё в 2024 году стало недоступнее из-за высоких цен: квадратного метра, процентной ставки по кредиту и минимальному первоначальному взносу.</w:t>
      </w:r>
    </w:p>
    <w:p>
      <w:r>
        <w:t xml:space="preserve">Отмечается, что активность покупателей в прошедшем году в основном была связана с так называемой льготной ипотекой, которая давала возможность приобретения квартир с относительно низкими (7-8%) процентными ставками. </w:t>
      </w:r>
    </w:p>
    <w:p>
      <w:r>
        <w:t xml:space="preserve">Рекордное число выданных банками займов объясняется еще и желанием граждан успеть до грядущего ужесточения условий по ипотеке: увеличения первоначального взноса с 20% до 30%. Крупные владельцы недвижимости отреагировали молниеносно - ростом цен на 10-15% за квадратный метр. Рост ключевой и кредитной ставок (на вторичное жильё) до 20% и 25%, соответственно, привели к снижению спроса. </w:t>
      </w:r>
    </w:p>
    <w:p>
      <w:r>
        <w:t xml:space="preserve">Теперь рядовой собственник вряд ли сможет продать свою квартиру по рыночной цене, чтобы приобрести новую жилплощадь. Примечателен тот факт, что по оценке экспертов большую часть (85%) сделок на первичном рынке составляет ипотека. Только за 2023 год банки ссудили населению гигантские 7,9 триллиона рублей. Иными словами, большинство россиян находятся в долговременной кредитной кабале. </w:t>
      </w:r>
    </w:p>
    <w:p>
      <w:r>
        <w:t>Если учесть общую ситуацию с экономикой в масштабах страны и всего мира, то можно заключить, что улучшения перспектив для трудящихся не предвидится. Таковы условия по своей сути антигуманной рыночной экономики с её постоянными кризисами и концентрацией богатств в руках небольшой кучки крупнейших предпринимателей. Политика любого капиталистического государства направлена на защиту интересов бизнесменов ради роста их многомиллиардных состояний. На примере ситуации с рынком жилья мы убедились, что сверхприбыль в любом случае принадлежит банкам и строительным корпорациям, действующим взаимовыгодно: одни поднимают цены, другие - проценты.</w:t>
      </w:r>
    </w:p>
    <w:p>
      <w:r>
        <w:t>За всё же расплачиваются простые люди, зарабатывающие средства для существования своим низкооплачиваемым трудом. Положение такое, что далеко не все из них смогут позволить себе надеть на шею тяжёлое кредитное ярмо, выдаваемое банком за возможность улучшить свои жилищные условия. Так будет до тех пор, пока наемные работники не осознают свои классовые интересы, пока они не возьмут власть в свои руки - власть, защищающую их права на труд, на мирную жизнь и крышу над головой.</w:t>
      </w:r>
      <w:r>
        <w:br/>
      </w:r>
      <w:r>
        <w:br/>
      </w:r>
      <w:r>
        <w:t xml:space="preserve">Источник: Московский комсомолец - </w:t>
      </w:r>
      <w:hyperlink r:id="rId9">
        <w:r>
          <w:rPr>
            <w:color w:val="0000FF"/>
            <w:u w:val="single"/>
          </w:rPr>
          <w:t>«Эксперты дали пессимистические прогнозы доступности жилья в России»</w:t>
        </w:r>
      </w:hyperlink>
      <w:r>
        <w:t xml:space="preserve"> от 10 апреля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mk.ru/economics/2024/04/10/eksperty-dali-pessimisticheskie-prognozy-dostupnosti-zhilya-v-rossi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