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коммунизме</w:t>
      </w:r>
    </w:p>
    <w:p>
      <w:pPr/>
      <w:r>
        <w:t>2019-11-27</w:t>
      </w:r>
    </w:p>
    <w:p>
      <w:pPr/>
    </w:p>
    <w:p>
      <w:r>
        <w:t>“Речь идёт о создании для всех людей таких условий жизни, при которых каждый получит возможность свободно развивать свою человеческую природу, жить со своими ближними в человеческих отношениях и не бояться насильственного разрушения своего благосостояния…</w:t>
      </w:r>
    </w:p>
    <w:p>
      <w:r>
        <w:t>Мы вовсе не хотим разрушать подлинно человеческую жизнь со всеми её условиями и потребностями, наоборот, мы всячески стремимся создать её”.</w:t>
      </w:r>
    </w:p>
    <w:p>
      <w:r>
        <w:rPr>
          <w:b/>
        </w:rPr>
        <w:t>– Ф.Энгельс, “Эльберфельдские речи”</w:t>
        <w:br/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