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Деградация строительной отрасли во время СВО</w:t>
      </w:r>
    </w:p>
    <w:p>
      <w:pPr/>
      <w:r>
        <w:t>2023-05-23</w:t>
      </w:r>
    </w:p>
    <w:p>
      <w:pPr/>
      <w:r>
        <w:t>11 мин. на чтение</w:t>
      </w:r>
    </w:p>
    <w:p>
      <w:r>
        <w:t xml:space="preserve">Один из самых надёжных способов, при помощи которых богатые хранят деньги — недвижимость. Казалось, эта отрасль могла развиваться бесконечно — к выгоде не только застройщиков, но и производителей стали, стекла, дерева и бетона. Даже в первое время проведения СВО строительная отрасль продолжала расти. Однако после 8 месяцев покупательная способность населения упала, а вокруг образовалось слишком много свободных площадей от ушедших иностранных компаний и российских предприятий-банкротов. </w:t>
      </w:r>
    </w:p>
    <w:p>
      <w:r>
        <w:t xml:space="preserve">Производство стройматериалов потеряло клиентов среди российских строек и иностранной торговли. От стройматериалов будущее России зависит даже в большей степени, чем от постройки жилых зданий, в которые никто не заселяется из-за недостатка денег. Расширение производственных мощностей напрямую зависит от зданий и дорог, которые делают из стройматериалов, а сталь и стекло используются как сырьё для других отраслей промышленности. </w:t>
      </w:r>
    </w:p>
    <w:p>
      <w:pPr>
        <w:pStyle w:val="Heading2"/>
      </w:pPr>
      <w:r>
        <w:t xml:space="preserve">I. Падение строительства </w:t>
      </w:r>
    </w:p>
    <w:p>
      <w:r>
        <w:t xml:space="preserve">С началом 2023 г. по всей России </w:t>
      </w:r>
      <w:hyperlink r:id="rId9">
        <w:r>
          <w:rPr>
            <w:color w:val="0000FF"/>
            <w:u w:val="single"/>
          </w:rPr>
          <w:t>стартовало</w:t>
        </w:r>
      </w:hyperlink>
      <w:r>
        <w:t xml:space="preserve"> почти вдвое меньше новых проектов строительства жилья по сравнению с началом 2022 г. Причина — падение спроса. На конец 2022 г. нераспроданными оставались квартиры в различной стадии готовности, площадью в 66% от общего объёма рынка. </w:t>
      </w:r>
    </w:p>
    <w:p>
      <w:r>
        <w:t xml:space="preserve">Падение строительства наблюдается по всей стране, но в Москве и Санкт-Петербурге по-прежнему сохраняется рост. Рост центра на фоне регионов иллюстрируют прогнозы, по которым доля одной столицы в строительстве торговых площадей во всей стране может </w:t>
      </w:r>
      <w:hyperlink r:id="rId10">
        <w:r>
          <w:rPr>
            <w:color w:val="0000FF"/>
            <w:u w:val="single"/>
          </w:rPr>
          <w:t>превысить</w:t>
        </w:r>
      </w:hyperlink>
      <w:r>
        <w:t xml:space="preserve"> 50%, несмотря на то, что на начало 2023 г. в Москве </w:t>
      </w:r>
      <w:hyperlink r:id="rId11">
        <w:r>
          <w:rPr>
            <w:color w:val="0000FF"/>
            <w:u w:val="single"/>
          </w:rPr>
          <w:t>пустуют</w:t>
        </w:r>
      </w:hyperlink>
      <w:r>
        <w:t xml:space="preserve"> 7-10% уличных магазинов и 15,6% площади ТЦ, но торговые центры — необходимая часть </w:t>
      </w:r>
      <w:hyperlink r:id="rId10">
        <w:r>
          <w:rPr>
            <w:color w:val="0000FF"/>
            <w:u w:val="single"/>
          </w:rPr>
          <w:t>застройки</w:t>
        </w:r>
      </w:hyperlink>
      <w:r>
        <w:t xml:space="preserve"> Москвы. </w:t>
      </w:r>
    </w:p>
    <w:p>
      <w:r>
        <w:t xml:space="preserve">В Москве и Санкт-Петербурге также сосредотачивается большое количество офисов. В 2022 г. сдали в аренду на 43% </w:t>
      </w:r>
      <w:hyperlink r:id="rId12">
        <w:r>
          <w:rPr>
            <w:color w:val="0000FF"/>
            <w:u w:val="single"/>
          </w:rPr>
          <w:t>меньше</w:t>
        </w:r>
      </w:hyperlink>
      <w:r>
        <w:t xml:space="preserve"> офисов, чем ожидали по прогнозам, которые составили ещё до СВО. Опустело 80% элитных офисов, так как их в основном занимали западные компании, которые сейчас ушли из России. Общий спрос на офисы всех классов </w:t>
      </w:r>
      <w:hyperlink r:id="rId13">
        <w:r>
          <w:rPr>
            <w:color w:val="0000FF"/>
            <w:u w:val="single"/>
          </w:rPr>
          <w:t>сократился</w:t>
        </w:r>
      </w:hyperlink>
      <w:r>
        <w:t xml:space="preserve"> в полтора раза.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9412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РБК</w:t>
      </w:r>
    </w:p>
    <w:p>
      <w:r>
        <w:t xml:space="preserve">Динамику спроса во всей стране отражает строительство складов для логистики (логопарков): оно тоже </w:t>
      </w:r>
      <w:hyperlink r:id="rId15">
        <w:r>
          <w:rPr>
            <w:color w:val="0000FF"/>
            <w:u w:val="single"/>
          </w:rPr>
          <w:t>упало</w:t>
        </w:r>
      </w:hyperlink>
      <w:r>
        <w:t xml:space="preserve"> в два раза после начала СВО. Эксперты </w:t>
      </w:r>
      <w:hyperlink r:id="rId15">
        <w:r>
          <w:rPr>
            <w:color w:val="0000FF"/>
            <w:u w:val="single"/>
          </w:rPr>
          <w:t>объясняют</w:t>
        </w:r>
      </w:hyperlink>
      <w:r>
        <w:t xml:space="preserve">, что компании пользуются складами ушедших иностранных собственников, и предоставляют в субаренду собственные склады, которые опустели из-за падения производства и торговли. </w:t>
      </w:r>
    </w:p>
    <w:p>
      <w:r>
        <w:t xml:space="preserve">Строительство складов, специализированных под конкретных заказчиков, упало в 9 раз из-за того, что юридически нельзя отказаться от </w:t>
      </w:r>
      <w:hyperlink r:id="rId16">
        <w:r>
          <w:rPr>
            <w:color w:val="0000FF"/>
            <w:u w:val="single"/>
          </w:rPr>
          <w:t>аренды</w:t>
        </w:r>
      </w:hyperlink>
      <w:r>
        <w:t xml:space="preserve"> раньше срока. «Коммерсантъ» </w:t>
      </w:r>
      <w:hyperlink r:id="rId16">
        <w:r>
          <w:rPr>
            <w:color w:val="0000FF"/>
            <w:u w:val="single"/>
          </w:rPr>
          <w:t>считает</w:t>
        </w:r>
      </w:hyperlink>
      <w:r>
        <w:t xml:space="preserve"> значительной возможность разорвать контракт раньше срока, потому что бизнес опасается совершать долгосрочные вложения ввиду дестабилизации ситуации на рынке из-за СВО. </w:t>
      </w:r>
    </w:p>
    <w:p>
      <w:r>
        <w:t xml:space="preserve">Показателен и тот факт, что вместо строительства на новых участках, девелоперы в последнее время </w:t>
      </w:r>
      <w:hyperlink r:id="rId17">
        <w:r>
          <w:rPr>
            <w:color w:val="0000FF"/>
            <w:u w:val="single"/>
          </w:rPr>
          <w:t>сосредоточились</w:t>
        </w:r>
      </w:hyperlink>
      <w:r>
        <w:t xml:space="preserve"> на выкупе активов обанкротившихся владельцев. С 2023 г. интерес к приобретению недвижимости банкротов вырос на 14,34% по сравнению с концом 2022 г. </w:t>
      </w:r>
    </w:p>
    <w:p>
      <w:r>
        <w:t xml:space="preserve">На торгах обанкротившихся компаний участки и имущество покупают за меньшую цену, чем на открытом рынке, из-за меньшей конкуренции, отсутствия части посредников и необходимости срочно получить деньги за собственность. </w:t>
      </w:r>
    </w:p>
    <w:p>
      <w:r>
        <w:t xml:space="preserve">В то же время </w:t>
      </w:r>
      <w:hyperlink r:id="rId18">
        <w:r>
          <w:rPr>
            <w:color w:val="0000FF"/>
            <w:u w:val="single"/>
          </w:rPr>
          <w:t>рост</w:t>
        </w:r>
      </w:hyperlink>
      <w:r>
        <w:t xml:space="preserve"> цен на жилье отстаёт от роста цен на строительные материалы. Темпы роста цен на жилье после начала СВО составят примерно 0,2% в месяц, при этом с 2018 по 2023 гг. цена прокатного стального листа </w:t>
      </w:r>
      <w:hyperlink r:id="rId19">
        <w:r>
          <w:rPr>
            <w:color w:val="0000FF"/>
            <w:u w:val="single"/>
          </w:rPr>
          <w:t>выросла</w:t>
        </w:r>
      </w:hyperlink>
      <w:r>
        <w:t xml:space="preserve"> на 33%, а другие материалы ещё выше: шифер — 54%, строительные смеси — 62%, древесноволокнистые плиты — целых 164%. </w:t>
      </w:r>
    </w:p>
    <w:p>
      <w:r>
        <w:t xml:space="preserve">Складывается ситуация, при которой рост цен на сырьё продолжается, но из-за низкого спроса на возведение новых зданий строительная отрасль не может компенсировать издержки и нормально извлекать прибыль. </w:t>
      </w:r>
    </w:p>
    <w:p>
      <w:r>
        <w:t xml:space="preserve">Дополнительные трудности для девелоперов создают проблемы на рынке труда. К концу 2022 г. из-за мобилизации </w:t>
      </w:r>
      <w:hyperlink r:id="rId20">
        <w:r>
          <w:rPr>
            <w:color w:val="0000FF"/>
            <w:u w:val="single"/>
          </w:rPr>
          <w:t>возникла</w:t>
        </w:r>
      </w:hyperlink>
      <w:r>
        <w:t xml:space="preserve"> опасность коллапса части строек. Бизнес просил отсрочку для руководителей проектов, инженеров, конструкторов, архитекторов, IT-специалистов строительного сектора, и рабочих с профильным образованием. Но на данный момент официально бронь от мобилизации в строительной отрасли никому не полагается. </w:t>
      </w:r>
    </w:p>
    <w:p>
      <w:r>
        <w:t xml:space="preserve">Исходя из сказанного, самый очевидный способ поднять спрос — снизить цены. Но вместо этого собственники строительных компаний предпочитают экономить на качестве жилья. </w:t>
      </w:r>
    </w:p>
    <w:p>
      <w:r>
        <w:t xml:space="preserve">Так, за 2022 г. в Москве площадь жилья </w:t>
      </w:r>
      <w:hyperlink r:id="rId21">
        <w:r>
          <w:rPr>
            <w:color w:val="0000FF"/>
            <w:u w:val="single"/>
          </w:rPr>
          <w:t>сократилась</w:t>
        </w:r>
      </w:hyperlink>
      <w:r>
        <w:t xml:space="preserve"> в среднем на 12%, достигнув исторического минимума 46,8 квадрата. С 2020 г. доля студий в общем объёме предложения увеличилась с 12% до 23% и их площадь уменьшились в среднем на 2,4 кв. м, до 24,2 кв. м, а однокомнатных квартир с 29% до 35% и площадь на 2,5 кв. м, до 38,3 кв. м. Средняя площадь проданной квартиры в новостройках Москвы сокращается в среднем на 10% год от года. </w:t>
      </w:r>
    </w:p>
    <w:p>
      <w:pPr>
        <w:pStyle w:val="Heading2"/>
      </w:pPr>
      <w:r>
        <w:t xml:space="preserve">II. Бизнесу может что-то помочь? </w:t>
      </w:r>
    </w:p>
    <w:p>
      <w:r>
        <w:t xml:space="preserve">«Независимая газета» </w:t>
      </w:r>
      <w:hyperlink r:id="rId22">
        <w:r>
          <w:rPr>
            <w:color w:val="0000FF"/>
            <w:u w:val="single"/>
          </w:rPr>
          <w:t>считает</w:t>
        </w:r>
      </w:hyperlink>
      <w:r>
        <w:t xml:space="preserve">, что вне зависимости от ситуации со спросом на новое жильё, «нет времени и поводов» впадать в стагнацию. Источник также приводит </w:t>
      </w:r>
      <w:hyperlink r:id="rId22">
        <w:r>
          <w:rPr>
            <w:color w:val="0000FF"/>
            <w:u w:val="single"/>
          </w:rPr>
          <w:t>оценку</w:t>
        </w:r>
      </w:hyperlink>
      <w:r>
        <w:t xml:space="preserve"> эксперта компании «ИВА Партнерс»: </w:t>
      </w:r>
    </w:p>
    <w:p>
      <w:pPr>
        <w:pStyle w:val="IntenseQuote"/>
      </w:pPr>
      <w:r>
        <w:t xml:space="preserve">«Дополнительный спрос могут обеспечить программы восстановления разрушенных городов в новых субъектах Федерации». </w:t>
      </w:r>
    </w:p>
    <w:p>
      <w:r>
        <w:t xml:space="preserve">Вице-премьер РФ также </w:t>
      </w:r>
      <w:hyperlink r:id="rId22">
        <w:r>
          <w:rPr>
            <w:color w:val="0000FF"/>
            <w:u w:val="single"/>
          </w:rPr>
          <w:t>отмечает</w:t>
        </w:r>
      </w:hyperlink>
      <w:r>
        <w:t xml:space="preserve">: </w:t>
      </w:r>
    </w:p>
    <w:p>
      <w:pPr>
        <w:pStyle w:val="IntenseQuote"/>
      </w:pPr>
      <w:r>
        <w:t xml:space="preserve">«В связи с обстрелом со стороны Украины возникают риски повреждения домов и объектов соцкультбыта граждан, проживающих вблизи приграничных территорий. В настоящее время в Белгородской, Курской, Брянской областях мы столкнулись с ситуацией, когда требуется расселение жителей в связи с прямой угрозой их жизни». </w:t>
      </w:r>
    </w:p>
    <w:p>
      <w:r>
        <w:t xml:space="preserve">Наиболее сложная ситуация по </w:t>
      </w:r>
      <w:hyperlink r:id="rId22">
        <w:r>
          <w:rPr>
            <w:color w:val="0000FF"/>
            <w:u w:val="single"/>
          </w:rPr>
          <w:t>данным</w:t>
        </w:r>
      </w:hyperlink>
      <w:r>
        <w:t xml:space="preserve"> на февраль 2023 г. — в Белгородской области: отселили уже более 3,7 тыс. жителей из домов площадью более 108 тыс. кв. м. Пострадавшие дома скорее всего потребуется ремонтировать, восстанавливать, либо возводить вместо них новые здания.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Коммерсантъ</w:t>
      </w:r>
    </w:p>
    <w:p>
      <w:r>
        <w:t xml:space="preserve">Помимо разрушений от СВО, строительные компании </w:t>
      </w:r>
      <w:hyperlink r:id="rId9">
        <w:r>
          <w:rPr>
            <w:color w:val="0000FF"/>
            <w:u w:val="single"/>
          </w:rPr>
          <w:t>надеялись</w:t>
        </w:r>
      </w:hyperlink>
      <w:r>
        <w:t xml:space="preserve"> на льготную ипотеку от государства. 80-90% </w:t>
      </w:r>
      <w:hyperlink r:id="rId24">
        <w:r>
          <w:rPr>
            <w:color w:val="0000FF"/>
            <w:u w:val="single"/>
          </w:rPr>
          <w:t>сделок</w:t>
        </w:r>
      </w:hyperlink>
      <w:r>
        <w:t xml:space="preserve"> с недвижимостью совершаются с использованием заёмных средств и каждая вторая — по госпрограммам. Государство и ранее подпитывало строительную отрасль за счёт скидок гражданам на ставки по кредиту. Последняя программа льгот истекала в 2023 г. Её продлили, увеличили ставку кредита с 7% до 8%. </w:t>
      </w:r>
    </w:p>
    <w:p>
      <w:r>
        <w:t xml:space="preserve">Между тем ипотеку выдают всё меньшему числу граждан. В январе 2022 г. </w:t>
      </w:r>
      <w:hyperlink r:id="rId24">
        <w:r>
          <w:rPr>
            <w:color w:val="0000FF"/>
            <w:u w:val="single"/>
          </w:rPr>
          <w:t>заключили</w:t>
        </w:r>
      </w:hyperlink>
      <w:r>
        <w:t xml:space="preserve"> на 19% меньше ипотечных договоров чем в январе 2021 г., а в январе 2023 г. выдача ипотеки </w:t>
      </w:r>
      <w:hyperlink r:id="rId9">
        <w:r>
          <w:rPr>
            <w:color w:val="0000FF"/>
            <w:u w:val="single"/>
          </w:rPr>
          <w:t>сократилось</w:t>
        </w:r>
      </w:hyperlink>
      <w:r>
        <w:t xml:space="preserve"> ещё в 4 раза. Если эта тенденция сохранится, меры государства, как и спрос на восстановление разрушенных зданий, лишь несколько сгладят кризис отрасли, но не остановят её дальнейшее падение. </w:t>
      </w:r>
    </w:p>
    <w:p>
      <w:pPr>
        <w:pStyle w:val="Heading2"/>
      </w:pPr>
      <w:r>
        <w:t xml:space="preserve">III. Что с производством стройматериалов? </w:t>
      </w:r>
    </w:p>
    <w:p>
      <w:r>
        <w:t xml:space="preserve">В текущих экономических условиях строительство недвижимости требует больше денег из-за роста цен на стройматериалы, однако в их производстве дела обстоят также не лучшим образом. </w:t>
      </w:r>
    </w:p>
    <w:p>
      <w:r>
        <w:t xml:space="preserve">В декабре 2023 г. производство стройматериалов </w:t>
      </w:r>
      <w:hyperlink r:id="rId22">
        <w:r>
          <w:rPr>
            <w:color w:val="0000FF"/>
            <w:u w:val="single"/>
          </w:rPr>
          <w:t>просело</w:t>
        </w:r>
      </w:hyperlink>
      <w:r>
        <w:t xml:space="preserve"> на 14.9% по сравнению с февралём 2022 г. Выпуск продукции упал в основном по материалам, которые продавали за границу. Например, в 2022 г. на 43% рухнуло производство стекла. </w:t>
      </w:r>
    </w:p>
    <w:p>
      <w:r>
        <w:t xml:space="preserve">Стоит заметить, что производство материалов, которые в основном шли на потребление на внутреннем рынке, не сильно пострадало, а в некоторых сегментах даже наблюдался небольшой рост в 1-2%. Но это едва ли можно считать чем-то обнадёживающим: рост незначительный и сам по себе он не повлечёт за собой открытие новых заводов. Кроме того, до СВО загрузка  производства стройматериалов варьировалась от 60 до 70%. </w:t>
      </w:r>
    </w:p>
    <w:p>
      <w:r>
        <w:t>И главной проблемой здесь выступают трудности с импортным оборудованием.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94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OpenBusiness</w:t>
      </w:r>
    </w:p>
    <w:p>
      <w:r>
        <w:t xml:space="preserve">Даже спустя год специальной военной операции и, несмотря на многочисленные заверения властей в стиле 2014-2015 гг. об импортозамещении, около 70% российских стройматериалов по-прежнему изготавливают при помощи импортной техники, ремонт и обновление которой из-за санкций затруднён. </w:t>
      </w:r>
    </w:p>
    <w:p>
      <w:pPr>
        <w:pStyle w:val="IntenseQuote"/>
      </w:pPr>
      <w:r>
        <w:t xml:space="preserve">«...с помощью зарубежного оборудования выпускают практически все российские кирпичи, плитку, керамогранит, сантехническую керамику, саморезы, герметики, газобетон и др.». — </w:t>
      </w:r>
      <w:hyperlink r:id="rId22">
        <w:r>
          <w:rPr>
            <w:color w:val="0000FF"/>
            <w:u w:val="single"/>
          </w:rPr>
          <w:t>рассказывает</w:t>
        </w:r>
      </w:hyperlink>
      <w:r>
        <w:t xml:space="preserve"> управляющий партнёр компании «Метриум». </w:t>
      </w:r>
    </w:p>
    <w:p>
      <w:r>
        <w:t xml:space="preserve">Западные санкции распространяются на продажу части техники, которую используют в производстве строительных материалов, помимо этого санкции нарушают прежние цепочки поставок и приводят к сбоям и потере рентабельности сделок. По этой причине компания-производитель строительной и горнодобывающей техники Caterpillar  </w:t>
      </w:r>
      <w:hyperlink r:id="rId26">
        <w:r>
          <w:rPr>
            <w:color w:val="0000FF"/>
            <w:u w:val="single"/>
          </w:rPr>
          <w:t>приостановила</w:t>
        </w:r>
      </w:hyperlink>
      <w:r>
        <w:t xml:space="preserve"> деятельность своих заводов на территории России. Эта американская компания производит самосвалы, экскаваторы и комплектующие к ним. Из-за санкций поставки оборудования для лесозаготовок и дорожного строительства в Россию остановил и другой американский производитель — Deere. </w:t>
      </w:r>
    </w:p>
    <w:p>
      <w:r>
        <w:t xml:space="preserve">Помимо иностранного оборудования, российская индустрия стройматериалов зависит от поставок сырья. </w:t>
      </w:r>
    </w:p>
    <w:p>
      <w:pPr>
        <w:pStyle w:val="IntenseQuote"/>
      </w:pPr>
      <w:r>
        <w:t xml:space="preserve">«За рубежом закупается сырьё для производства красок и монтажных пен. Западные санкции привели к проблемам с ремонтом техники и ввозом необходимых ресурсов». — </w:t>
      </w:r>
      <w:hyperlink r:id="rId22">
        <w:r>
          <w:rPr>
            <w:color w:val="0000FF"/>
            <w:u w:val="single"/>
          </w:rPr>
          <w:t>рассказывает</w:t>
        </w:r>
      </w:hyperlink>
      <w:r>
        <w:t xml:space="preserve"> управляющий партнёр компании «Метриум». </w:t>
      </w:r>
    </w:p>
    <w:p>
      <w:r>
        <w:t xml:space="preserve">Также 30% </w:t>
      </w:r>
      <w:hyperlink r:id="rId27">
        <w:r>
          <w:rPr>
            <w:color w:val="0000FF"/>
            <w:u w:val="single"/>
          </w:rPr>
          <w:t>лифтов</w:t>
        </w:r>
      </w:hyperlink>
      <w:r>
        <w:t xml:space="preserve"> российского производства делают из иностранных комплектующих и ещё 13% лифтов полностью привозят из западных стран. При этом некоторые лифтостроительные заводы в России принадлежат иностранной компании Otis, которая поставила 16% лифтов установленных в РФ в 2021 г. Otis из-за СВО больше не принимает заказы в России вместе с ещё двумя производителями лифтов и экскаваторов: финской KONE и немецкой TK Elevator. </w:t>
      </w:r>
    </w:p>
    <w:p>
      <w:r>
        <w:t xml:space="preserve">Может ли здесь помочь Китай? Вряд ли, ведь китайские лифты не пользуются спросом в РФ. Опыт использования лифтов от китайских производителей показал, что их приходилось часто ремонтировать. А тот факт, что запчасти  нужно везти из Китая, значительно </w:t>
      </w:r>
      <w:hyperlink r:id="rId27">
        <w:r>
          <w:rPr>
            <w:color w:val="0000FF"/>
            <w:u w:val="single"/>
          </w:rPr>
          <w:t>затрудняет</w:t>
        </w:r>
      </w:hyperlink>
      <w:r>
        <w:t xml:space="preserve"> обслуживание. Замену ушедшим лифтовым компаниям российские заказчики ищут в Турции и Корее. </w:t>
      </w:r>
    </w:p>
    <w:p>
      <w:r>
        <w:t xml:space="preserve">В то же время, вытесненный из Европы российский экспорт стройматериалов также не очень охотно идёт в Китай. Помимо большого плеча подвоза, источники «Коммерсанта» </w:t>
      </w:r>
      <w:hyperlink r:id="rId28">
        <w:r>
          <w:rPr>
            <w:color w:val="0000FF"/>
            <w:u w:val="single"/>
          </w:rPr>
          <w:t>сообщают</w:t>
        </w:r>
      </w:hyperlink>
      <w:r>
        <w:t xml:space="preserve"> о большой конкуренции на рынке КНР, из-за которой вакансии на заказы находить трудно и долго.</w:t>
      </w:r>
    </w:p>
    <w:p>
      <w:pPr>
        <w:pStyle w:val="Heading2"/>
      </w:pPr>
      <w:r>
        <w:t xml:space="preserve">IV. Что ожидает отрасль? </w:t>
      </w:r>
    </w:p>
    <w:p>
      <w:r>
        <w:t xml:space="preserve">Строительная индустрия и связанные с ней отрасли продолжат сокращаться, так как доходы населения не увеличиваются, а бизнес РФ проигрывает в конкуренции иностранным компаниям. Анализ </w:t>
      </w:r>
      <w:hyperlink r:id="rId29">
        <w:r>
          <w:rPr>
            <w:color w:val="0000FF"/>
            <w:u w:val="single"/>
          </w:rPr>
          <w:t>экспертов</w:t>
        </w:r>
      </w:hyperlink>
      <w:r>
        <w:t xml:space="preserve"> показывает, что предложение </w:t>
      </w:r>
      <w:hyperlink r:id="rId9">
        <w:r>
          <w:rPr>
            <w:color w:val="0000FF"/>
            <w:u w:val="single"/>
          </w:rPr>
          <w:t>будет</w:t>
        </w:r>
      </w:hyperlink>
      <w:r>
        <w:t xml:space="preserve"> восстанавливаться быстрее спроса, а это значит, что кризис в целом сохранится.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1716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7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При текущей динамике это говорит о постепенном сжатии отрасли. Представитель «Северстали» </w:t>
      </w:r>
      <w:hyperlink r:id="rId31">
        <w:r>
          <w:rPr>
            <w:color w:val="0000FF"/>
            <w:u w:val="single"/>
          </w:rPr>
          <w:t>прогнозирует</w:t>
        </w:r>
      </w:hyperlink>
      <w:r>
        <w:t xml:space="preserve"> уменьшение потребления стали на 3% год от года, «Союзцемент» </w:t>
      </w:r>
      <w:hyperlink r:id="rId32">
        <w:r>
          <w:rPr>
            <w:color w:val="0000FF"/>
            <w:u w:val="single"/>
          </w:rPr>
          <w:t>предполагает</w:t>
        </w:r>
      </w:hyperlink>
      <w:r>
        <w:t xml:space="preserve"> падение потребления цемента на 5,9%. При нестабильной мировой политической и экономической ситуации следует быть готовыми и к более резким падениям. </w:t>
      </w:r>
    </w:p>
    <w:p>
      <w:r>
        <w:t>Ещё неизвестно, как Россия справится с заменой устаревшего оборудования, ведь западные санкции прервали многие прежние поставки, а Китай не торопится заменять Запад. Как и в случае с автомобилями, Китай не видит в России рынка для дорогих потребительских товаров из-за беднеющего населения. А это значит, согласно отмеченным факторам — сокращение господдержки строительной отрасли в виде уменьшения выдачи ипотеки, повышение процента за неё, и неоптимистичные прогнозы представителей стройбизнеса о том, что российский производитель вряд ли оправится от кризиса в ближайшие годы.</w:t>
      </w:r>
    </w:p>
    <w:p>
      <w:r>
        <w:t xml:space="preserve">Всё это в конечном итоге лишь усилит деградацию российской экономики, разрушение производительных сил и сокращение рабочих мест. Капитализм стремительно разрушает один сектор бывшей советской республики за другим. </w:t>
      </w:r>
    </w:p>
    <w:p>
      <w:pPr>
        <w:pStyle w:val="Heading3"/>
      </w:pPr>
      <w:r>
        <w:t>Источники</w:t>
      </w:r>
    </w:p>
    <w:p>
      <w:pPr>
        <w:pStyle w:val="ListNumber"/>
      </w:pPr>
      <w:r>
        <w:t>Коммерсантъ: «</w:t>
      </w:r>
      <w:hyperlink r:id="rId9">
        <w:r>
          <w:rPr>
            <w:color w:val="0000FF"/>
            <w:u w:val="single"/>
          </w:rPr>
          <w:t>Девелоперы спрятались в котловане</w:t>
        </w:r>
      </w:hyperlink>
      <w:r>
        <w:t>» от 27 февраля 2023 г.</w:t>
      </w:r>
    </w:p>
    <w:p>
      <w:pPr>
        <w:pStyle w:val="ListNumber"/>
      </w:pPr>
      <w:r>
        <w:t>Коммерсантъ: «</w:t>
      </w:r>
      <w:hyperlink r:id="rId10">
        <w:r>
          <w:rPr>
            <w:color w:val="0000FF"/>
            <w:u w:val="single"/>
          </w:rPr>
          <w:t>Торгцентры расширяются в регионах</w:t>
        </w:r>
      </w:hyperlink>
      <w:r>
        <w:t>» от 23 января 2023 г.</w:t>
      </w:r>
    </w:p>
    <w:p>
      <w:pPr>
        <w:pStyle w:val="ListNumber"/>
      </w:pPr>
      <w:r>
        <w:t>Коммерсантъ: «</w:t>
      </w:r>
      <w:hyperlink r:id="rId11">
        <w:r>
          <w:rPr>
            <w:color w:val="0000FF"/>
            <w:u w:val="single"/>
          </w:rPr>
          <w:t>Замещение дошло до магазинов</w:t>
        </w:r>
      </w:hyperlink>
      <w:r>
        <w:t>» от 22 января 2023 г.</w:t>
      </w:r>
    </w:p>
    <w:p>
      <w:pPr>
        <w:pStyle w:val="ListNumber"/>
      </w:pPr>
      <w:r>
        <w:t>Коммерсантъ: «</w:t>
      </w:r>
      <w:hyperlink r:id="rId12">
        <w:r>
          <w:rPr>
            <w:color w:val="0000FF"/>
            <w:u w:val="single"/>
          </w:rPr>
          <w:t>Заявить не значит заселить</w:t>
        </w:r>
      </w:hyperlink>
      <w:r>
        <w:t>» от 26 января 2023 г.</w:t>
      </w:r>
    </w:p>
    <w:p>
      <w:pPr>
        <w:pStyle w:val="ListNumber"/>
      </w:pPr>
      <w:r>
        <w:t>Коммерсантъ: «</w:t>
      </w:r>
      <w:hyperlink r:id="rId13">
        <w:r>
          <w:rPr>
            <w:color w:val="0000FF"/>
            <w:u w:val="single"/>
          </w:rPr>
          <w:t>Компании уплотняются</w:t>
        </w:r>
      </w:hyperlink>
      <w:r>
        <w:t>» от 28 декабря 2022 г.</w:t>
      </w:r>
    </w:p>
    <w:p>
      <w:pPr>
        <w:pStyle w:val="ListNumber"/>
      </w:pPr>
      <w:r>
        <w:t>Коммерсантъ: «</w:t>
      </w:r>
      <w:hyperlink r:id="rId15">
        <w:r>
          <w:rPr>
            <w:color w:val="0000FF"/>
            <w:u w:val="single"/>
          </w:rPr>
          <w:t>Логопарки не сложились у девелоперов</w:t>
        </w:r>
      </w:hyperlink>
      <w:r>
        <w:t>» от 6 октября 2022 г.</w:t>
      </w:r>
    </w:p>
    <w:p>
      <w:pPr>
        <w:pStyle w:val="ListNumber"/>
      </w:pPr>
      <w:r>
        <w:t>Коммерсантъ: «</w:t>
      </w:r>
      <w:hyperlink r:id="rId16">
        <w:r>
          <w:rPr>
            <w:color w:val="0000FF"/>
            <w:u w:val="single"/>
          </w:rPr>
          <w:t>Логопарки не нашли заказчиков</w:t>
        </w:r>
      </w:hyperlink>
      <w:r>
        <w:t>» от 19 сентября 2022 г.</w:t>
      </w:r>
    </w:p>
    <w:p>
      <w:pPr>
        <w:pStyle w:val="ListNumber"/>
      </w:pPr>
      <w:r>
        <w:t>Коммерсантъ: «</w:t>
      </w:r>
      <w:hyperlink r:id="rId17">
        <w:r>
          <w:rPr>
            <w:color w:val="0000FF"/>
            <w:u w:val="single"/>
          </w:rPr>
          <w:t>Центр реализовался как площадка</w:t>
        </w:r>
      </w:hyperlink>
      <w:r>
        <w:t>» от 7 апреля 2023 г.</w:t>
      </w:r>
    </w:p>
    <w:p>
      <w:pPr>
        <w:pStyle w:val="ListNumber"/>
      </w:pPr>
      <w:r>
        <w:t>Коммерсантъ: «</w:t>
      </w:r>
      <w:hyperlink r:id="rId18">
        <w:r>
          <w:rPr>
            <w:color w:val="0000FF"/>
            <w:u w:val="single"/>
          </w:rPr>
          <w:t>Новостройки замерли без покупателей</w:t>
        </w:r>
      </w:hyperlink>
      <w:r>
        <w:t>» от 17 июля 2022 г.</w:t>
      </w:r>
    </w:p>
    <w:p>
      <w:pPr>
        <w:pStyle w:val="ListNumber"/>
      </w:pPr>
      <w:r>
        <w:t>Коммерсантъ: «</w:t>
      </w:r>
      <w:hyperlink r:id="rId19">
        <w:r>
          <w:rPr>
            <w:color w:val="0000FF"/>
            <w:u w:val="single"/>
          </w:rPr>
          <w:t>Власти последят за ценами на сталь</w:t>
        </w:r>
      </w:hyperlink>
      <w:r>
        <w:t>» от 6 апреля 2023 г.</w:t>
      </w:r>
    </w:p>
    <w:p>
      <w:pPr>
        <w:pStyle w:val="ListNumber"/>
      </w:pPr>
      <w:r>
        <w:t>Коммерсантъ: «</w:t>
      </w:r>
      <w:hyperlink r:id="rId20">
        <w:r>
          <w:rPr>
            <w:color w:val="0000FF"/>
            <w:u w:val="single"/>
          </w:rPr>
          <w:t>Мобилизовать — не строить</w:t>
        </w:r>
      </w:hyperlink>
      <w:r>
        <w:t>» от 2 октября 2022 г.</w:t>
      </w:r>
    </w:p>
    <w:p>
      <w:pPr>
        <w:pStyle w:val="ListNumber"/>
      </w:pPr>
      <w:r>
        <w:t>Коммерсантъ: «</w:t>
      </w:r>
      <w:hyperlink r:id="rId21">
        <w:r>
          <w:rPr>
            <w:color w:val="0000FF"/>
            <w:u w:val="single"/>
          </w:rPr>
          <w:t>Квартиры уплотнились</w:t>
        </w:r>
      </w:hyperlink>
      <w:r>
        <w:t>» от 27 июля 2022 г.</w:t>
      </w:r>
    </w:p>
    <w:p>
      <w:pPr>
        <w:pStyle w:val="ListNumber"/>
      </w:pPr>
      <w:r>
        <w:t>Независимая газета: «</w:t>
      </w:r>
      <w:hyperlink r:id="rId22">
        <w:r>
          <w:rPr>
            <w:color w:val="0000FF"/>
            <w:u w:val="single"/>
          </w:rPr>
          <w:t>Обвал производства стройматериалов оттенил строительные рекорды</w:t>
        </w:r>
      </w:hyperlink>
      <w:r>
        <w:t>» от 2 февраля 2023 г.</w:t>
      </w:r>
    </w:p>
    <w:p>
      <w:pPr>
        <w:pStyle w:val="ListNumber"/>
      </w:pPr>
      <w:r>
        <w:t>Коммерсантъ: «</w:t>
      </w:r>
      <w:hyperlink r:id="rId24">
        <w:r>
          <w:rPr>
            <w:color w:val="0000FF"/>
            <w:u w:val="single"/>
          </w:rPr>
          <w:t>Льготной ипотеке донастроили процент</w:t>
        </w:r>
      </w:hyperlink>
      <w:r>
        <w:t>» от 15 декабря 2022 г.</w:t>
      </w:r>
    </w:p>
    <w:p>
      <w:pPr>
        <w:pStyle w:val="ListNumber"/>
      </w:pPr>
      <w:r>
        <w:t>РБК: «</w:t>
      </w:r>
      <w:hyperlink r:id="rId26">
        <w:r>
          <w:rPr>
            <w:color w:val="0000FF"/>
            <w:u w:val="single"/>
          </w:rPr>
          <w:t>Крупнейший производитель сельхозтехники приостановил поставки в Россию</w:t>
        </w:r>
      </w:hyperlink>
      <w:r>
        <w:t>» от 10 марта 2022 г.</w:t>
      </w:r>
    </w:p>
    <w:p>
      <w:pPr>
        <w:pStyle w:val="ListNumber"/>
      </w:pPr>
      <w:r>
        <w:t>РБК: «</w:t>
      </w:r>
      <w:hyperlink r:id="rId27">
        <w:r>
          <w:rPr>
            <w:color w:val="0000FF"/>
            <w:u w:val="single"/>
          </w:rPr>
          <w:t>Застройщики начали искать замену европейским лифтам в Китае и Корее</w:t>
        </w:r>
      </w:hyperlink>
      <w:r>
        <w:t>» от 21 марта 2022 г.</w:t>
      </w:r>
    </w:p>
    <w:p>
      <w:pPr>
        <w:pStyle w:val="ListNumber"/>
      </w:pPr>
      <w:r>
        <w:t>Коммерсантъ: «</w:t>
      </w:r>
      <w:hyperlink r:id="rId28">
        <w:r>
          <w:rPr>
            <w:color w:val="0000FF"/>
            <w:u w:val="single"/>
          </w:rPr>
          <w:t>Сталь закрепляется в Индии</w:t>
        </w:r>
      </w:hyperlink>
      <w:r>
        <w:t>» от 22 декабря 2022 г.</w:t>
      </w:r>
    </w:p>
    <w:p>
      <w:pPr>
        <w:pStyle w:val="ListNumber"/>
      </w:pPr>
      <w:r>
        <w:t>Коммерсантъ: «</w:t>
      </w:r>
      <w:hyperlink r:id="rId29">
        <w:r>
          <w:rPr>
            <w:color w:val="0000FF"/>
            <w:u w:val="single"/>
          </w:rPr>
          <w:t>Предложение жилья восстанавливается быстрее спроса</w:t>
        </w:r>
      </w:hyperlink>
      <w:r>
        <w:t>» от 23 декабря 2022 г.</w:t>
      </w:r>
    </w:p>
    <w:p>
      <w:pPr>
        <w:pStyle w:val="ListNumber"/>
      </w:pPr>
      <w:r>
        <w:t>Коммерсантъ: «</w:t>
      </w:r>
      <w:hyperlink r:id="rId31">
        <w:r>
          <w:rPr>
            <w:color w:val="0000FF"/>
            <w:u w:val="single"/>
          </w:rPr>
          <w:t>Сталь не гнется под санкциями</w:t>
        </w:r>
      </w:hyperlink>
      <w:r>
        <w:t>» от 31 января 2023 г.</w:t>
      </w:r>
    </w:p>
    <w:p>
      <w:pPr>
        <w:pStyle w:val="ListNumber"/>
      </w:pPr>
      <w:r>
        <w:t>Коммерсантъ: «</w:t>
      </w:r>
      <w:hyperlink r:id="rId32">
        <w:r>
          <w:rPr>
            <w:color w:val="0000FF"/>
            <w:u w:val="single"/>
          </w:rPr>
          <w:t>Цемент застыл</w:t>
        </w:r>
      </w:hyperlink>
      <w:r>
        <w:t>» от 5 апреля 2023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kommersant.ru/doc/5842368" TargetMode="External"/><Relationship Id="rId10" Type="http://schemas.openxmlformats.org/officeDocument/2006/relationships/hyperlink" Target="https://www.kommersant.ru/doc/5783329?from=doc_vrez" TargetMode="External"/><Relationship Id="rId11" Type="http://schemas.openxmlformats.org/officeDocument/2006/relationships/hyperlink" Target="https://www.kommersant.ru/doc/5774936?from=doc_vrez" TargetMode="External"/><Relationship Id="rId12" Type="http://schemas.openxmlformats.org/officeDocument/2006/relationships/hyperlink" Target="https://www.kommersant.ru/doc/5785283?from=doc_vrez" TargetMode="External"/><Relationship Id="rId13" Type="http://schemas.openxmlformats.org/officeDocument/2006/relationships/hyperlink" Target="https://www.kommersant.ru/doc/5748641?from=doc_vrez" TargetMode="External"/><Relationship Id="rId14" Type="http://schemas.openxmlformats.org/officeDocument/2006/relationships/image" Target="media/image1.png"/><Relationship Id="rId15" Type="http://schemas.openxmlformats.org/officeDocument/2006/relationships/hyperlink" Target="https://www.kommersant.ru/doc/5595352?query=%D0%B4%D0%B5%D0%B2%D0%B5%D0%BB%D0%BE%D0%BF%D0%B5%D1%80%D1%8B" TargetMode="External"/><Relationship Id="rId16" Type="http://schemas.openxmlformats.org/officeDocument/2006/relationships/hyperlink" Target="https://www.kommersant.ru/doc/5570025?from=doc_vrez" TargetMode="External"/><Relationship Id="rId17" Type="http://schemas.openxmlformats.org/officeDocument/2006/relationships/hyperlink" Target="https://www.kommersant.ru/doc/5915686" TargetMode="External"/><Relationship Id="rId18" Type="http://schemas.openxmlformats.org/officeDocument/2006/relationships/hyperlink" Target="https://www.kommersant.ru/doc/5460353?from=doc_vrez" TargetMode="External"/><Relationship Id="rId19" Type="http://schemas.openxmlformats.org/officeDocument/2006/relationships/hyperlink" Target="https://www.kommersant.ru/doc/5915643" TargetMode="External"/><Relationship Id="rId20" Type="http://schemas.openxmlformats.org/officeDocument/2006/relationships/hyperlink" Target="https://www.kommersant.ru/doc/5593417" TargetMode="External"/><Relationship Id="rId21" Type="http://schemas.openxmlformats.org/officeDocument/2006/relationships/hyperlink" Target="https://www.kommersant.ru/doc/5481046" TargetMode="External"/><Relationship Id="rId22" Type="http://schemas.openxmlformats.org/officeDocument/2006/relationships/hyperlink" Target="https://www.ng.ru/economics/2023-02-02/1_8651_stagnation.html" TargetMode="External"/><Relationship Id="rId23" Type="http://schemas.openxmlformats.org/officeDocument/2006/relationships/image" Target="media/image2.png"/><Relationship Id="rId24" Type="http://schemas.openxmlformats.org/officeDocument/2006/relationships/hyperlink" Target="https://www.kommersant.ru/doc/5722155" TargetMode="External"/><Relationship Id="rId25" Type="http://schemas.openxmlformats.org/officeDocument/2006/relationships/image" Target="media/image3.png"/><Relationship Id="rId26" Type="http://schemas.openxmlformats.org/officeDocument/2006/relationships/hyperlink" Target="https://www.rbc.ru/business/10/03/2022/622948739a7947275340584f" TargetMode="External"/><Relationship Id="rId27" Type="http://schemas.openxmlformats.org/officeDocument/2006/relationships/hyperlink" Target="https://www.rbc.ru/business/21/03/2022/62348ff79a7947e25cb00eb0" TargetMode="External"/><Relationship Id="rId28" Type="http://schemas.openxmlformats.org/officeDocument/2006/relationships/hyperlink" Target="https://www.kommersant.ru/doc/5735782" TargetMode="External"/><Relationship Id="rId29" Type="http://schemas.openxmlformats.org/officeDocument/2006/relationships/hyperlink" Target="https://www.kommersant.ru/doc/5736638" TargetMode="External"/><Relationship Id="rId30" Type="http://schemas.openxmlformats.org/officeDocument/2006/relationships/image" Target="media/image4.png"/><Relationship Id="rId31" Type="http://schemas.openxmlformats.org/officeDocument/2006/relationships/hyperlink" Target="https://www.kommersant.ru/doc/5797809" TargetMode="External"/><Relationship Id="rId32" Type="http://schemas.openxmlformats.org/officeDocument/2006/relationships/hyperlink" Target="https://www.kommersant.ru/doc/59143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