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Берлин не будет препятствовать поглощению Commerzbank со стороны UniCredit</w:t>
      </w:r>
    </w:p>
    <w:p>
      <w:pPr/>
      <w:r>
        <w:t>2024-10-04</w:t>
      </w:r>
    </w:p>
    <w:p>
      <w:pPr/>
      <w:r>
        <w:t>2 мин. на чтение</w:t>
      </w:r>
    </w:p>
    <w:p>
      <w:r>
        <w:t>Правительство Германии не планирует принимать меры для предотвращения возможного поглощения одного из крупнейших банков страны, Commerzbank, итальянской финансовой группой UniCredit. Об этом заявил на брифинге в Берлине официальный представитель кабмина ФРГ Штеффен Хебештрайт.</w:t>
      </w:r>
    </w:p>
    <w:p>
      <w:pPr>
        <w:pStyle w:val="IntenseQuote"/>
      </w:pPr>
      <w:r>
        <w:t xml:space="preserve">"Правительство ФРГ уже многие годы владеет значительной долей в Commerzbank. Недавно часть этой доли была продана, а UniCredit приобрел дополнительные акции через рыночные механизмы. Это их право," — отметил Хебештрайт. </w:t>
      </w:r>
    </w:p>
    <w:p>
      <w:pPr>
        <w:pStyle w:val="IntenseQuote"/>
      </w:pPr>
      <w:r>
        <w:t>"Commerzbank является важным банком для германской экономики, однако у правительства нет планов по предотвращению его поглощения. На данный момент никаких дальнейших действий не предполагается, и это дело игроков на рынке капитала," — добавил он.</w:t>
      </w:r>
    </w:p>
    <w:p>
      <w:r>
        <w:t>Ранее министр финансов Германии Кристиан Линднер подчеркивал, что Commerzbank сам несет ответственность за предотвращение возможного поглощения со стороны UniCredit. В то же время канцлер ФРГ Олаф Шольц критиковал действия UniCredit, предупреждая о возможных потерях рабочих мест в случае сделки.</w:t>
      </w:r>
    </w:p>
    <w:p>
      <w:r>
        <w:t xml:space="preserve">Видна позиция правящей партии, которая, в очередной раз, заняла нейтральную позицию, не принимая мер по защите рабочих мест, что подчеркивает её ориентацию на интересы крупного капитала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Рыночная система продолжает переживать кризис. Рост социального неравенства и снижение доходов большинства сопровождаются увеличением числа миллиардеров, которые перекладывают экономические трудности на плечи наемных работников, стремясь к максимальной прибыли за счет сокращения расходов на труд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Формирование монополий и поглощения не новы для капитализма. Буржуазные силы давно стремятся представить антимонопольные законы как решение проблемы. Однако с каждым слиянием или поглощением крупных компаний проблема только усугубляется </w:t>
      </w:r>
      <w:hyperlink r:id="rId11">
        <w:r>
          <w:rPr>
            <w:color w:val="0000FF"/>
            <w:u w:val="single"/>
          </w:rPr>
          <w:t>[3]</w:t>
        </w:r>
      </w:hyperlink>
      <w:r>
        <w:rPr>
          <w:u w:val="single"/>
        </w:rPr>
        <w:t xml:space="preserve">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Все попытки ограничить влияние монополий сталкиваются с самой природой капитализма — системы, выражающей интересы капитала и поддерживающей господство буржуазии. Антимонопольные службы часто становятся инструментом политических игр между корпорациями и управленцами, которые после ухода с должностей легко находят работу в топ-менеджменте тех же компаний </w:t>
      </w:r>
      <w:hyperlink r:id="rId12">
        <w:r>
          <w:rPr>
            <w:color w:val="0000FF"/>
            <w:u w:val="single"/>
          </w:rPr>
          <w:t>[4]</w:t>
        </w:r>
      </w:hyperlink>
      <w:r>
        <w:rPr>
          <w:u w:val="single"/>
        </w:rPr>
        <w:t xml:space="preserve">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Монополии — это неотъемлемая часть капитализма, символизирующая его разложение. Их появление изменило общественную структуру, позволив контролировать целые отрасли и увеличивать прибыль за счет слияний, запланированного устаревания, патентных споров и политического лоббизма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Единственным способом остановить негативное влияние монополий является ликвидация их причины — рыночной системы, заменив её на социализм, направленный на удовлетворение потребностей всего трудящегося общества, а не его меньшинства.</w:t>
      </w:r>
    </w:p>
    <w:p>
      <w:r>
        <w:t xml:space="preserve">Источники: </w:t>
      </w:r>
    </w:p>
    <w:p>
      <w:r>
        <w:t xml:space="preserve">[1] ТАСС - </w:t>
      </w:r>
      <w:hyperlink r:id="rId9">
        <w:r>
          <w:rPr>
            <w:color w:val="0000FF"/>
            <w:u w:val="single"/>
          </w:rPr>
          <w:t>«Берлин не будет препятствовать поглощению Commerzbank со стороны UniCredit»</w:t>
        </w:r>
      </w:hyperlink>
      <w:r>
        <w:t xml:space="preserve"> от 25 сентября 2024 г.</w:t>
      </w:r>
    </w:p>
    <w:p>
      <w:r>
        <w:t xml:space="preserve">[2] РБК - </w:t>
      </w:r>
      <w:hyperlink r:id="rId10">
        <w:r>
          <w:rPr>
            <w:color w:val="0000FF"/>
            <w:u w:val="single"/>
          </w:rPr>
          <w:t>«Богатство не для всех: почему в мире растет разрыв в доходах»</w:t>
        </w:r>
      </w:hyperlink>
      <w:r>
        <w:t xml:space="preserve"> от 21 июня 2024 г.</w:t>
      </w:r>
    </w:p>
    <w:p>
      <w:r>
        <w:t xml:space="preserve">[3] Ведомости - </w:t>
      </w:r>
      <w:hyperlink r:id="rId11">
        <w:r>
          <w:rPr>
            <w:color w:val="0000FF"/>
            <w:u w:val="single"/>
          </w:rPr>
          <w:t>«Microsoft закрыл сделку по покупке Activision Blizzard за $69 млрд»</w:t>
        </w:r>
      </w:hyperlink>
      <w:r>
        <w:t xml:space="preserve"> от 13 октября 2023 г.</w:t>
      </w:r>
    </w:p>
    <w:p>
      <w:r>
        <w:t xml:space="preserve">[4] Интерфакс - </w:t>
      </w:r>
      <w:hyperlink r:id="rId12">
        <w:r>
          <w:rPr>
            <w:color w:val="0000FF"/>
            <w:u w:val="single"/>
          </w:rPr>
          <w:t>«Google выиграл у Oracle в суде многолетнюю тяжбу об использовании Java»</w:t>
        </w:r>
      </w:hyperlink>
      <w:r>
        <w:t xml:space="preserve"> от 5 апреля 2021 г.</w:t>
      </w:r>
    </w:p>
    <w:p>
      <w:r>
        <w:t xml:space="preserve">[5] Коммерсантъ - </w:t>
      </w:r>
      <w:hyperlink r:id="rId13">
        <w:r>
          <w:rPr>
            <w:color w:val="0000FF"/>
            <w:u w:val="single"/>
          </w:rPr>
          <w:t>«Бывший замглавы ФАС Иванов назначен президентом FESCO»</w:t>
        </w:r>
      </w:hyperlink>
      <w:r>
        <w:t xml:space="preserve"> от 23 сентября 2024 г.</w:t>
      </w:r>
    </w:p>
    <w:p>
      <w:r>
        <w:t xml:space="preserve">[6] Коммерсантъ - </w:t>
      </w:r>
      <w:hyperlink r:id="rId14">
        <w:r>
          <w:rPr>
            <w:color w:val="0000FF"/>
            <w:u w:val="single"/>
          </w:rPr>
          <w:t>«Boeing потратила $15 млн для ослабления надзора за деятельностью компании»</w:t>
        </w:r>
      </w:hyperlink>
      <w:r>
        <w:t xml:space="preserve"> от 25 марта 2019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21955587" TargetMode="External"/><Relationship Id="rId10" Type="http://schemas.openxmlformats.org/officeDocument/2006/relationships/hyperlink" Target="https://trends.rbc.ru/trends/social/6672a35d9a7947890e9f571b" TargetMode="External"/><Relationship Id="rId11" Type="http://schemas.openxmlformats.org/officeDocument/2006/relationships/hyperlink" Target="https://www.vedomosti.ru/business/news/2023/10/15/1000679-microsoft" TargetMode="External"/><Relationship Id="rId12" Type="http://schemas.openxmlformats.org/officeDocument/2006/relationships/hyperlink" Target="https://www.interfax.ru/business/759592" TargetMode="External"/><Relationship Id="rId13" Type="http://schemas.openxmlformats.org/officeDocument/2006/relationships/hyperlink" Target="https://www.kommersant.ru/doc/7180651" TargetMode="External"/><Relationship Id="rId14" Type="http://schemas.openxmlformats.org/officeDocument/2006/relationships/hyperlink" Target="https://www.kommersant.ru/doc/3923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