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Аксаков назвал ошибкой заморозку пенсионных накоплений</w:t>
      </w:r>
    </w:p>
    <w:p>
      <w:pPr/>
      <w:r>
        <w:t>2024-07-13</w:t>
      </w:r>
    </w:p>
    <w:p>
      <w:pPr/>
      <w:r>
        <w:t>2 мин. на чтение</w:t>
      </w:r>
    </w:p>
    <w:p>
      <w:r>
        <w:t xml:space="preserve">Об этом </w:t>
      </w:r>
      <w:hyperlink r:id="rId9">
        <w:r>
          <w:rPr>
            <w:color w:val="0000FF"/>
            <w:u w:val="single"/>
          </w:rPr>
          <w:t>заявил</w:t>
        </w:r>
      </w:hyperlink>
      <w:r>
        <w:t xml:space="preserve"> глава комитета Госдумы по финансовому рынку Анатолий Аксаков.</w:t>
      </w:r>
    </w:p>
    <w:p>
      <w:r>
        <w:t>До 2014 года наниматель уплачивал из собственных средств в СФР 22% от зарплаты работника. Выплата распределялась на 16% и 6% между страховой и накопительной пенсией, соответственно. С 2014 по 2024 год был введен мораторий на накопительную часть пенсии. Вся сумма отчисления в количестве 22% попадала в страховую часть.</w:t>
      </w:r>
    </w:p>
    <w:p>
      <w:r>
        <w:t>Депутат обозначил возвращение к нормам до 2014 вопросом дискуссионным:</w:t>
      </w:r>
    </w:p>
    <w:p>
      <w:pPr>
        <w:pStyle w:val="IntenseQuote"/>
      </w:pPr>
      <w:r>
        <w:t xml:space="preserve">“Там есть разные взгляды и позиция, в конце концов, того министерства, которое эту тему ведет. Она пока, насколько я понимаю, отрицательная. Эту работу надо вести”. </w:t>
      </w:r>
    </w:p>
    <w:p>
      <w:pPr>
        <w:pStyle w:val="IntenseQuote"/>
      </w:pPr>
      <w:r>
        <w:t xml:space="preserve">“Я считаю, что мы тогда не просто поторопились, а сделали ошибку. Поскольку было принято законодательное решение, все на это решение ориентировались, и начали формироваться негосударственные пенсионные фонды. Все рассчитывали, что они смогут работать с деньгами, поступающими в эти фонды, довольно приличные суммы уже собрали. Потом вдруг неожиданно меняем правила игры,” - указал на частный  интерес глава комитета Аксаков. </w:t>
      </w:r>
    </w:p>
    <w:p>
      <w:r>
        <w:t xml:space="preserve">Пенсионный вопрос отражает противоречия классового общества. В обоих вариантах пенсии наниматель оплачивает в СФР 22% от зарплаты наемного рабочего. Однако эти 22%, хоть наниматель и считает их своими средствами, на деле являются стоимостью, произведенной наемным трудом. </w:t>
      </w:r>
    </w:p>
    <w:p>
      <w:r>
        <w:t>В масштабе рабочего класса в условиях капитализма зарплата является восполнением затрат по воспроизводству рабочей силы. Поскольку пенсионные отчисления считаются от зарплаты, постольку масса пенсионеров в среднем будет получать одинаковую часть. Таким образом  улучшения уровня жизни или увеличение потребления пенсионеров оба варианта пенсии не рассматривают.</w:t>
      </w:r>
    </w:p>
    <w:p>
      <w:r>
        <w:t>Низкий уровень пенсионного обеспечения капиталистическим государством создает спрос на лучшее пенсионное обеспечение и почву для частного удовлетворения такой потребности. Отсюда произрастают частные пенсионные фонды. Хотя часть наемных рабочих с высокими зарплатами будет заинтересована в такой услуге, общая масса пенсионеров ничего не приобретает или даже может потерять.</w:t>
      </w:r>
    </w:p>
    <w:p>
      <w:r>
        <w:t>Всякий частный делец скажет: “Интерес должен крутиться, деньги должны быть в обороте. Особенно если это чужие деньги.” Частный пенсионный фонд есть бизнес, а бизнес - дело рискованное.  Весь барыш, полученный путем успешного инвестирования, будет покрыт завесой коммерческой тайны. В случае неудачных инвестиций частное лицо своих средств не теряет, пенсионный фонд банкротится. Может быть государственный бюджет возьмет на себя обязательства перед пенсионерами. А может и не взять.</w:t>
      </w:r>
    </w:p>
    <w:p>
      <w:r>
        <w:t>Когда работоспособное население не зарабатывает действующим пенсионерам на содержание, а бюджет не может компенсировать недостачу, можно свернуть накопительную политику, увеличив тем самым страховую часть на 6%, примерно на существенную треть.</w:t>
      </w:r>
    </w:p>
    <w:p>
      <w:r>
        <w:t xml:space="preserve">Таким образом, пока счетоводы сводят “дебет с кредитом” в пенсионном вопросе, дипломаты лоббируют интересы частного бизнеса, обещая лучшую жизнь трудящимся массам. </w:t>
      </w:r>
    </w:p>
    <w:p>
      <w:r>
        <w:t xml:space="preserve">Обеспечить себе достойную старость рабочий человек сможет не в частных негосударственных фондах, а в пролетарском государстве, которое стоит на страже экономических интересов всего трудового народа. </w:t>
      </w:r>
    </w:p>
    <w:p>
      <w:r>
        <w:t xml:space="preserve">Источник: ТАСС - </w:t>
      </w:r>
      <w:hyperlink r:id="rId9">
        <w:r>
          <w:rPr>
            <w:color w:val="0000FF"/>
            <w:u w:val="single"/>
          </w:rPr>
          <w:t>«Аксаков назвал ошибкой заморозку пенсионных накоплений»</w:t>
        </w:r>
      </w:hyperlink>
      <w:r>
        <w:t xml:space="preserve"> от 03 июля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ass.ru/ekonomika/21266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